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DB" w:rsidRPr="006D6EDB" w:rsidRDefault="006D6EDB" w:rsidP="006D6EDB">
      <w:pPr>
        <w:spacing w:before="100" w:beforeAutospacing="1" w:after="100" w:afterAutospacing="1" w:line="240" w:lineRule="auto"/>
        <w:outlineLvl w:val="1"/>
        <w:rPr>
          <w:rFonts w:eastAsia="Times New Roman" w:cstheme="minorHAnsi"/>
          <w:b/>
          <w:bCs/>
          <w:color w:val="000000"/>
          <w:sz w:val="28"/>
          <w:szCs w:val="28"/>
          <w:lang w:val="is-IS"/>
        </w:rPr>
      </w:pPr>
      <w:bookmarkStart w:id="0" w:name="_GoBack"/>
      <w:bookmarkEnd w:id="0"/>
      <w:r w:rsidRPr="006D6EDB">
        <w:rPr>
          <w:rFonts w:eastAsia="Times New Roman" w:cstheme="minorHAnsi"/>
          <w:b/>
          <w:bCs/>
          <w:color w:val="000000"/>
          <w:sz w:val="28"/>
          <w:szCs w:val="28"/>
          <w:lang w:val="is-IS"/>
        </w:rPr>
        <w:t>Lög um skyldutryggingu lífeyrisréttinda og starfsemi lífeyrissjóða nr. 129/1997</w:t>
      </w:r>
    </w:p>
    <w:p w:rsidR="006D6EDB" w:rsidRPr="006D6EDB" w:rsidRDefault="006D6EDB" w:rsidP="006D6EDB">
      <w:pPr>
        <w:spacing w:before="100" w:beforeAutospacing="1" w:after="100" w:afterAutospacing="1" w:line="240" w:lineRule="auto"/>
        <w:outlineLvl w:val="1"/>
        <w:rPr>
          <w:rFonts w:eastAsia="Times New Roman" w:cstheme="minorHAnsi"/>
          <w:b/>
          <w:bCs/>
          <w:color w:val="000000"/>
          <w:sz w:val="23"/>
          <w:szCs w:val="23"/>
          <w:lang w:val="is-IS"/>
        </w:rPr>
      </w:pPr>
      <w:r w:rsidRPr="006D6EDB">
        <w:rPr>
          <w:rFonts w:eastAsia="Times New Roman" w:cstheme="minorHAnsi"/>
          <w:b/>
          <w:bCs/>
          <w:color w:val="000000"/>
          <w:sz w:val="23"/>
          <w:szCs w:val="23"/>
          <w:lang w:val="is-IS"/>
        </w:rPr>
        <w:t>…</w:t>
      </w:r>
    </w:p>
    <w:p w:rsidR="006D6EDB" w:rsidRPr="006D6EDB" w:rsidRDefault="006D6EDB" w:rsidP="006D6EDB">
      <w:pPr>
        <w:spacing w:before="100" w:beforeAutospacing="1" w:after="100" w:afterAutospacing="1" w:line="240" w:lineRule="auto"/>
        <w:outlineLvl w:val="1"/>
        <w:rPr>
          <w:rFonts w:eastAsia="Times New Roman" w:cstheme="minorHAnsi"/>
          <w:color w:val="000000"/>
          <w:sz w:val="23"/>
          <w:szCs w:val="23"/>
          <w:lang w:val="is-IS"/>
        </w:rPr>
      </w:pPr>
      <w:bookmarkStart w:id="1" w:name="G20"/>
      <w:r w:rsidRPr="006D6EDB">
        <w:rPr>
          <w:rFonts w:cstheme="minorHAnsi"/>
          <w:noProof/>
          <w:color w:val="000000"/>
          <w:sz w:val="23"/>
          <w:szCs w:val="23"/>
          <w:lang w:val="is-IS"/>
        </w:rPr>
        <w:drawing>
          <wp:inline distT="0" distB="0" distL="0" distR="0" wp14:anchorId="15ADB5D9" wp14:editId="44261315">
            <wp:extent cx="102235" cy="102235"/>
            <wp:effectExtent l="0" t="0" r="0" b="0"/>
            <wp:docPr id="2" name="Picture 2" descr="http://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6D6EDB">
        <w:rPr>
          <w:rStyle w:val="apple-converted-space"/>
          <w:rFonts w:cstheme="minorHAnsi"/>
          <w:color w:val="000000"/>
          <w:sz w:val="23"/>
          <w:szCs w:val="23"/>
          <w:lang w:val="is-IS"/>
        </w:rPr>
        <w:t> </w:t>
      </w:r>
      <w:r w:rsidRPr="006D6EDB">
        <w:rPr>
          <w:rFonts w:cstheme="minorHAnsi"/>
          <w:b/>
          <w:bCs/>
          <w:color w:val="000000"/>
          <w:sz w:val="23"/>
          <w:szCs w:val="23"/>
          <w:lang w:val="is-IS"/>
        </w:rPr>
        <w:t>20. gr.</w:t>
      </w:r>
      <w:bookmarkStart w:id="2" w:name="G20M1"/>
      <w:bookmarkEnd w:id="1"/>
      <w:r w:rsidRPr="006D6EDB">
        <w:rPr>
          <w:rStyle w:val="apple-converted-space"/>
          <w:rFonts w:cstheme="minorHAnsi"/>
          <w:color w:val="000000"/>
          <w:sz w:val="23"/>
          <w:szCs w:val="23"/>
          <w:lang w:val="is-IS"/>
        </w:rPr>
        <w:t> </w:t>
      </w:r>
      <w:r w:rsidRPr="006D6EDB">
        <w:rPr>
          <w:rFonts w:cstheme="minorHAnsi"/>
          <w:color w:val="000000"/>
          <w:sz w:val="23"/>
          <w:szCs w:val="23"/>
          <w:lang w:val="is-IS"/>
        </w:rPr>
        <w:t>Starfsemi lífeyrissjóðs skal lúta að móttöku, varðveislu og ávöxtun iðgjalda og greiðslu lífeyris. Iðgjöld og annað ráðstöfunarfé lífeyrissjóðs skal ávaxta sameiginlega með innlánum í bönkum og sparisjóðum eða í framseljanlegum verðbréfum á grundvelli áhættudreifingar samkvæmt fyrir fram kunngerðri fjárfestingarstefnu.</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03B6F0E3" wp14:editId="1C43E94B">
            <wp:extent cx="102235" cy="102235"/>
            <wp:effectExtent l="0" t="0" r="0" b="0"/>
            <wp:docPr id="1" name="Picture 1"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3" w:name="G20M2"/>
      <w:bookmarkEnd w:id="2"/>
      <w:r w:rsidRPr="006D6EDB">
        <w:rPr>
          <w:rStyle w:val="apple-converted-space"/>
          <w:rFonts w:cstheme="minorHAnsi"/>
          <w:color w:val="000000"/>
          <w:sz w:val="23"/>
          <w:szCs w:val="23"/>
          <w:lang w:val="is-IS"/>
        </w:rPr>
        <w:t> </w:t>
      </w:r>
      <w:r w:rsidRPr="006D6EDB">
        <w:rPr>
          <w:rFonts w:cstheme="minorHAnsi"/>
          <w:color w:val="000000"/>
          <w:sz w:val="23"/>
          <w:szCs w:val="23"/>
          <w:lang w:val="is-IS"/>
        </w:rPr>
        <w:t>Lífeyrissjóður skal ekki hafa með höndum aðra starfsemi en þá sem nauðsynleg er til að ná þeim tilgangi er um ræðir í 2. mgr. 1. gr. og 1. mgr. þessarar greinar. Lífeyrissjóði er ekki heimilt að inna af hendi framlög í öðrum tilgangi. [Framlög lífeyrissjóða til starfsendurhæfingarsjóða samkvæmt lögum um atvinnutengda starfsendurhæfingu og starfsemi starfsendurhæfingarsjóða teljast framlög í þeim tilgangi sem um ræðir í 2. mgr. 1. gr. og 1. mgr. ákvæðis þessa.]</w:t>
      </w:r>
      <w:r w:rsidRPr="006D6EDB">
        <w:rPr>
          <w:rFonts w:cstheme="minorHAnsi"/>
          <w:color w:val="000000"/>
          <w:sz w:val="23"/>
          <w:szCs w:val="23"/>
          <w:vertAlign w:val="superscript"/>
          <w:lang w:val="is-IS"/>
        </w:rPr>
        <w:t>1)</w:t>
      </w:r>
      <w:r w:rsidRPr="006D6EDB">
        <w:rPr>
          <w:rStyle w:val="apple-converted-space"/>
          <w:rFonts w:cstheme="minorHAnsi"/>
          <w:color w:val="000000"/>
          <w:sz w:val="23"/>
          <w:szCs w:val="23"/>
          <w:lang w:val="is-IS"/>
        </w:rPr>
        <w:t> </w:t>
      </w:r>
      <w:r w:rsidRPr="006D6EDB">
        <w:rPr>
          <w:rFonts w:cstheme="minorHAnsi"/>
          <w:color w:val="000000"/>
          <w:sz w:val="23"/>
          <w:szCs w:val="23"/>
          <w:lang w:val="is-IS"/>
        </w:rPr>
        <w:t>[Lífeyrissjóði er heimilt að stofna til samstarfs við þá aðila sem standa að sjóðnum um innheimtu iðgjalda fyrir þá samhliða innheimtu lífeyrissjóðsiðgjalda. Slík innheimta má ekki hafa í för með sér kostnaðarauka fyrir lífeyrissjóðinn.]</w:t>
      </w:r>
      <w:r w:rsidRPr="006D6EDB">
        <w:rPr>
          <w:rFonts w:cstheme="minorHAnsi"/>
          <w:color w:val="000000"/>
          <w:sz w:val="23"/>
          <w:szCs w:val="23"/>
          <w:vertAlign w:val="superscript"/>
          <w:lang w:val="is-IS"/>
        </w:rPr>
        <w:t>2)</w:t>
      </w:r>
      <w:r w:rsidRPr="006D6EDB">
        <w:rPr>
          <w:rFonts w:cstheme="minorHAnsi"/>
          <w:color w:val="000000"/>
          <w:sz w:val="23"/>
          <w:szCs w:val="23"/>
          <w:lang w:val="is-IS"/>
        </w:rPr>
        <w:br/>
        <w:t>   </w:t>
      </w:r>
      <w:r w:rsidRPr="006D6EDB">
        <w:rPr>
          <w:rFonts w:cstheme="minorHAnsi"/>
          <w:i/>
          <w:iCs/>
          <w:color w:val="000000"/>
          <w:sz w:val="23"/>
          <w:szCs w:val="23"/>
          <w:vertAlign w:val="superscript"/>
          <w:lang w:val="is-IS"/>
        </w:rPr>
        <w:t>1)</w:t>
      </w:r>
      <w:bookmarkEnd w:id="3"/>
      <w:r w:rsidRPr="006D6EDB">
        <w:rPr>
          <w:rFonts w:cstheme="minorHAnsi"/>
          <w:i/>
          <w:iCs/>
          <w:color w:val="000000"/>
          <w:sz w:val="23"/>
          <w:szCs w:val="23"/>
          <w:lang w:val="is-IS"/>
        </w:rPr>
        <w:fldChar w:fldCharType="begin"/>
      </w:r>
      <w:r w:rsidRPr="006D6EDB">
        <w:rPr>
          <w:rFonts w:cstheme="minorHAnsi"/>
          <w:i/>
          <w:iCs/>
          <w:color w:val="000000"/>
          <w:sz w:val="23"/>
          <w:szCs w:val="23"/>
          <w:lang w:val="is-IS"/>
        </w:rPr>
        <w:instrText xml:space="preserve"> HYPERLINK "http://www.althingi.is/lagas/nuna/2012060.html" </w:instrText>
      </w:r>
      <w:r w:rsidRPr="006D6EDB">
        <w:rPr>
          <w:rFonts w:cstheme="minorHAnsi"/>
          <w:i/>
          <w:iCs/>
          <w:color w:val="000000"/>
          <w:sz w:val="23"/>
          <w:szCs w:val="23"/>
          <w:lang w:val="is-IS"/>
        </w:rPr>
        <w:fldChar w:fldCharType="separate"/>
      </w:r>
      <w:r w:rsidRPr="006D6EDB">
        <w:rPr>
          <w:rStyle w:val="Hyperlink"/>
          <w:rFonts w:cstheme="minorHAnsi"/>
          <w:i/>
          <w:iCs/>
          <w:sz w:val="23"/>
          <w:szCs w:val="23"/>
          <w:lang w:val="is-IS"/>
        </w:rPr>
        <w:t>L. 60/2012, 30. gr.</w:t>
      </w:r>
      <w:r w:rsidRPr="006D6EDB">
        <w:rPr>
          <w:rFonts w:cstheme="minorHAnsi"/>
          <w:i/>
          <w:iCs/>
          <w:color w:val="000000"/>
          <w:sz w:val="23"/>
          <w:szCs w:val="23"/>
          <w:lang w:val="is-IS"/>
        </w:rPr>
        <w:fldChar w:fldCharType="end"/>
      </w:r>
      <w:r w:rsidRPr="006D6EDB">
        <w:rPr>
          <w:rStyle w:val="apple-converted-space"/>
          <w:rFonts w:cstheme="minorHAnsi"/>
          <w:i/>
          <w:iCs/>
          <w:color w:val="000000"/>
          <w:sz w:val="23"/>
          <w:szCs w:val="23"/>
          <w:lang w:val="is-IS"/>
        </w:rPr>
        <w:t> </w:t>
      </w:r>
      <w:r w:rsidRPr="006D6EDB">
        <w:rPr>
          <w:rFonts w:cstheme="minorHAnsi"/>
          <w:i/>
          <w:iCs/>
          <w:color w:val="000000"/>
          <w:sz w:val="23"/>
          <w:szCs w:val="23"/>
          <w:lang w:val="is-IS"/>
        </w:rPr>
        <w:t>Ákvæðið tekur gildi 1. okt. 2012 skv.</w:t>
      </w:r>
      <w:r w:rsidRPr="006D6EDB">
        <w:rPr>
          <w:rStyle w:val="apple-converted-space"/>
          <w:rFonts w:cstheme="minorHAnsi"/>
          <w:i/>
          <w:iCs/>
          <w:color w:val="000000"/>
          <w:sz w:val="23"/>
          <w:szCs w:val="23"/>
          <w:lang w:val="is-IS"/>
        </w:rPr>
        <w:t> </w:t>
      </w:r>
      <w:hyperlink r:id="rId9" w:history="1">
        <w:r w:rsidRPr="006D6EDB">
          <w:rPr>
            <w:rStyle w:val="Hyperlink"/>
            <w:rFonts w:cstheme="minorHAnsi"/>
            <w:i/>
            <w:iCs/>
            <w:sz w:val="23"/>
            <w:szCs w:val="23"/>
            <w:lang w:val="is-IS"/>
          </w:rPr>
          <w:t>28. gr. s.l.</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2)</w:t>
      </w:r>
      <w:hyperlink r:id="rId10" w:history="1">
        <w:r w:rsidRPr="006D6EDB">
          <w:rPr>
            <w:rStyle w:val="Hyperlink"/>
            <w:rFonts w:cstheme="minorHAnsi"/>
            <w:i/>
            <w:iCs/>
            <w:sz w:val="23"/>
            <w:szCs w:val="23"/>
            <w:lang w:val="is-IS"/>
          </w:rPr>
          <w:t>L. 28/2006, 1. gr.</w:t>
        </w:r>
      </w:hyperlink>
      <w:r w:rsidRPr="006D6EDB">
        <w:rPr>
          <w:rStyle w:val="apple-converted-space"/>
          <w:rFonts w:cstheme="minorHAnsi"/>
          <w:i/>
          <w:iCs/>
          <w:color w:val="000000"/>
          <w:sz w:val="23"/>
          <w:szCs w:val="23"/>
          <w:lang w:val="is-IS"/>
        </w:rPr>
        <w:t> </w:t>
      </w:r>
    </w:p>
    <w:p w:rsidR="006D6EDB" w:rsidRPr="006D6EDB" w:rsidRDefault="006D6EDB">
      <w:pPr>
        <w:rPr>
          <w:rFonts w:cstheme="minorHAnsi"/>
          <w:sz w:val="23"/>
          <w:szCs w:val="23"/>
          <w:lang w:val="is-IS"/>
        </w:rPr>
      </w:pPr>
      <w:r w:rsidRPr="006D6EDB">
        <w:rPr>
          <w:rFonts w:cstheme="minorHAnsi"/>
          <w:sz w:val="23"/>
          <w:szCs w:val="23"/>
          <w:lang w:val="is-IS"/>
        </w:rPr>
        <w:t>...</w:t>
      </w:r>
    </w:p>
    <w:p w:rsidR="006D6EDB" w:rsidRPr="006D6EDB" w:rsidRDefault="006D6EDB">
      <w:pPr>
        <w:rPr>
          <w:rFonts w:cstheme="minorHAnsi"/>
          <w:sz w:val="23"/>
          <w:szCs w:val="23"/>
          <w:lang w:val="is-IS"/>
        </w:rPr>
      </w:pPr>
      <w:r w:rsidRPr="006D6EDB">
        <w:rPr>
          <w:rFonts w:cstheme="minorHAnsi"/>
          <w:b/>
          <w:bCs/>
          <w:color w:val="000000"/>
          <w:sz w:val="23"/>
          <w:szCs w:val="23"/>
          <w:lang w:val="is-IS"/>
        </w:rPr>
        <w:t>VII. kafli.</w:t>
      </w:r>
      <w:r w:rsidRPr="006D6EDB">
        <w:rPr>
          <w:rStyle w:val="apple-converted-space"/>
          <w:rFonts w:cstheme="minorHAnsi"/>
          <w:color w:val="000000"/>
          <w:sz w:val="23"/>
          <w:szCs w:val="23"/>
          <w:lang w:val="is-IS"/>
        </w:rPr>
        <w:t> </w:t>
      </w:r>
      <w:r w:rsidRPr="006D6EDB">
        <w:rPr>
          <w:rFonts w:cstheme="minorHAnsi"/>
          <w:b/>
          <w:bCs/>
          <w:color w:val="000000"/>
          <w:sz w:val="23"/>
          <w:szCs w:val="23"/>
          <w:lang w:val="is-IS"/>
        </w:rPr>
        <w:t>Fjárfestingarstefna lífeyrissjóða.</w:t>
      </w:r>
      <w:r w:rsidRPr="006D6EDB">
        <w:rPr>
          <w:rFonts w:cstheme="minorHAnsi"/>
          <w:color w:val="000000"/>
          <w:sz w:val="23"/>
          <w:szCs w:val="23"/>
          <w:lang w:val="is-IS"/>
        </w:rPr>
        <w:br/>
      </w:r>
      <w:bookmarkStart w:id="4" w:name="G36"/>
      <w:r w:rsidRPr="006D6EDB">
        <w:rPr>
          <w:rFonts w:cstheme="minorHAnsi"/>
          <w:noProof/>
          <w:color w:val="000000"/>
          <w:sz w:val="23"/>
          <w:szCs w:val="23"/>
          <w:lang w:val="is-IS"/>
        </w:rPr>
        <w:drawing>
          <wp:inline distT="0" distB="0" distL="0" distR="0" wp14:anchorId="745997E4" wp14:editId="2C250821">
            <wp:extent cx="102235" cy="102235"/>
            <wp:effectExtent l="0" t="0" r="0" b="0"/>
            <wp:docPr id="26" name="Picture 26" descr="http://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6D6EDB">
        <w:rPr>
          <w:rStyle w:val="apple-converted-space"/>
          <w:rFonts w:cstheme="minorHAnsi"/>
          <w:color w:val="000000"/>
          <w:sz w:val="23"/>
          <w:szCs w:val="23"/>
          <w:lang w:val="is-IS"/>
        </w:rPr>
        <w:t> </w:t>
      </w:r>
      <w:r w:rsidRPr="006D6EDB">
        <w:rPr>
          <w:rFonts w:cstheme="minorHAnsi"/>
          <w:b/>
          <w:bCs/>
          <w:color w:val="000000"/>
          <w:sz w:val="23"/>
          <w:szCs w:val="23"/>
          <w:lang w:val="is-IS"/>
        </w:rPr>
        <w:t>36. gr.</w:t>
      </w:r>
      <w:bookmarkStart w:id="5" w:name="G36M1"/>
      <w:bookmarkEnd w:id="4"/>
      <w:r w:rsidRPr="006D6EDB">
        <w:rPr>
          <w:rStyle w:val="apple-converted-space"/>
          <w:rFonts w:cstheme="minorHAnsi"/>
          <w:color w:val="000000"/>
          <w:sz w:val="23"/>
          <w:szCs w:val="23"/>
          <w:lang w:val="is-IS"/>
        </w:rPr>
        <w:t> </w:t>
      </w:r>
      <w:r w:rsidRPr="006D6EDB">
        <w:rPr>
          <w:rFonts w:cstheme="minorHAnsi"/>
          <w:color w:val="000000"/>
          <w:sz w:val="23"/>
          <w:szCs w:val="23"/>
          <w:lang w:val="is-IS"/>
        </w:rPr>
        <w:t>Stjórn lífeyrissjóðs skal móta fjárfestingarstefnu og ávaxta fé sjóðsins með hliðsjón af þeim kjörum sem best eru boðin á hverjum tíma með tilliti til ávöxtunar og áhættu. Stjórn lífeyrissjóðs er heimilt að móta sérstaka fjárfestingarstefnu fyrir hverja deild í deildaskiptum sjóði. Lífeyrissjóði er heimilt að ávaxta fé sitt með eftirfarandi hætti:</w:t>
      </w:r>
      <w:r w:rsidRPr="006D6EDB">
        <w:rPr>
          <w:rStyle w:val="apple-converted-space"/>
          <w:rFonts w:cstheme="minorHAnsi"/>
          <w:color w:val="000000"/>
          <w:sz w:val="23"/>
          <w:szCs w:val="23"/>
          <w:lang w:val="is-IS"/>
        </w:rPr>
        <w:t> </w:t>
      </w:r>
      <w:r w:rsidRPr="006D6EDB">
        <w:rPr>
          <w:rFonts w:cstheme="minorHAnsi"/>
          <w:color w:val="000000"/>
          <w:sz w:val="23"/>
          <w:szCs w:val="23"/>
          <w:lang w:val="is-IS"/>
        </w:rPr>
        <w:br/>
        <w:t>   </w:t>
      </w:r>
      <w:bookmarkStart w:id="6" w:name="G36M1L1"/>
      <w:bookmarkEnd w:id="5"/>
      <w:r w:rsidRPr="006D6EDB">
        <w:rPr>
          <w:rFonts w:cstheme="minorHAnsi"/>
          <w:color w:val="000000"/>
          <w:sz w:val="23"/>
          <w:szCs w:val="23"/>
          <w:lang w:val="is-IS"/>
        </w:rPr>
        <w:t>1. Í ríkisvíxlum, ríkisskuldabréfum og skuldabréfum sem tryggð eru með ábyrgð ríkissjóðs.</w:t>
      </w:r>
      <w:r w:rsidRPr="006D6EDB">
        <w:rPr>
          <w:rFonts w:cstheme="minorHAnsi"/>
          <w:color w:val="000000"/>
          <w:sz w:val="23"/>
          <w:szCs w:val="23"/>
          <w:lang w:val="is-IS"/>
        </w:rPr>
        <w:br/>
        <w:t>   </w:t>
      </w:r>
      <w:bookmarkStart w:id="7" w:name="G36M1L2"/>
      <w:bookmarkEnd w:id="6"/>
      <w:r w:rsidRPr="006D6EDB">
        <w:rPr>
          <w:rFonts w:cstheme="minorHAnsi"/>
          <w:color w:val="000000"/>
          <w:sz w:val="23"/>
          <w:szCs w:val="23"/>
          <w:lang w:val="is-IS"/>
        </w:rPr>
        <w:t>2. [Í skuldabréfum og víxlum sveitarfélaga og Lánasjóðs sveitarfélaga ohf. og skuldabréfum og víxlum sem tryggð eru með ábyrgð þessara aðila.]</w:t>
      </w:r>
      <w:r w:rsidRPr="006D6EDB">
        <w:rPr>
          <w:rFonts w:cstheme="minorHAnsi"/>
          <w:color w:val="000000"/>
          <w:sz w:val="23"/>
          <w:szCs w:val="23"/>
          <w:vertAlign w:val="superscript"/>
          <w:lang w:val="is-IS"/>
        </w:rPr>
        <w:t>1)</w:t>
      </w:r>
      <w:r w:rsidRPr="006D6EDB">
        <w:rPr>
          <w:rFonts w:cstheme="minorHAnsi"/>
          <w:color w:val="000000"/>
          <w:sz w:val="23"/>
          <w:szCs w:val="23"/>
          <w:lang w:val="is-IS"/>
        </w:rPr>
        <w:br/>
        <w:t>   </w:t>
      </w:r>
      <w:bookmarkStart w:id="8" w:name="G36M1L3"/>
      <w:bookmarkEnd w:id="7"/>
      <w:r w:rsidRPr="006D6EDB">
        <w:rPr>
          <w:rFonts w:cstheme="minorHAnsi"/>
          <w:color w:val="000000"/>
          <w:sz w:val="23"/>
          <w:szCs w:val="23"/>
          <w:lang w:val="is-IS"/>
        </w:rPr>
        <w:t>3. Í skuldabréfum tryggðum með veði í fasteign að hámarki [75%]</w:t>
      </w:r>
      <w:r w:rsidRPr="006D6EDB">
        <w:rPr>
          <w:rFonts w:cstheme="minorHAnsi"/>
          <w:color w:val="000000"/>
          <w:sz w:val="23"/>
          <w:szCs w:val="23"/>
          <w:vertAlign w:val="superscript"/>
          <w:lang w:val="is-IS"/>
        </w:rPr>
        <w:t>2)</w:t>
      </w:r>
      <w:r w:rsidRPr="006D6EDB">
        <w:rPr>
          <w:rStyle w:val="apple-converted-space"/>
          <w:rFonts w:cstheme="minorHAnsi"/>
          <w:color w:val="000000"/>
          <w:sz w:val="23"/>
          <w:szCs w:val="23"/>
          <w:lang w:val="is-IS"/>
        </w:rPr>
        <w:t> </w:t>
      </w:r>
      <w:r w:rsidRPr="006D6EDB">
        <w:rPr>
          <w:rFonts w:cstheme="minorHAnsi"/>
          <w:color w:val="000000"/>
          <w:sz w:val="23"/>
          <w:szCs w:val="23"/>
          <w:lang w:val="is-IS"/>
        </w:rPr>
        <w:t>af metnu markaðsvirði nema þegar um er að ræða sérhæft atvinnuhúsnæði þá skal hámark þetta vera 35%.</w:t>
      </w:r>
      <w:r w:rsidRPr="006D6EDB">
        <w:rPr>
          <w:rFonts w:cstheme="minorHAnsi"/>
          <w:color w:val="000000"/>
          <w:sz w:val="23"/>
          <w:szCs w:val="23"/>
          <w:lang w:val="is-IS"/>
        </w:rPr>
        <w:br/>
        <w:t>   </w:t>
      </w:r>
      <w:bookmarkStart w:id="9" w:name="G36M1L4"/>
      <w:bookmarkEnd w:id="8"/>
      <w:r w:rsidRPr="006D6EDB">
        <w:rPr>
          <w:rFonts w:cstheme="minorHAnsi"/>
          <w:color w:val="000000"/>
          <w:sz w:val="23"/>
          <w:szCs w:val="23"/>
          <w:lang w:val="is-IS"/>
        </w:rPr>
        <w:t>4. Með innlánum í bönkum og sparisjóðum.</w:t>
      </w:r>
      <w:r w:rsidRPr="006D6EDB">
        <w:rPr>
          <w:rFonts w:cstheme="minorHAnsi"/>
          <w:color w:val="000000"/>
          <w:sz w:val="23"/>
          <w:szCs w:val="23"/>
          <w:lang w:val="is-IS"/>
        </w:rPr>
        <w:br/>
        <w:t>   </w:t>
      </w:r>
      <w:bookmarkStart w:id="10" w:name="G36M1L5"/>
      <w:bookmarkEnd w:id="9"/>
      <w:r w:rsidRPr="006D6EDB">
        <w:rPr>
          <w:rFonts w:cstheme="minorHAnsi"/>
          <w:color w:val="000000"/>
          <w:sz w:val="23"/>
          <w:szCs w:val="23"/>
          <w:lang w:val="is-IS"/>
        </w:rPr>
        <w:t>5. Í skuldabréfum og víxlum banka, sparisjóða og annarra lánastofnana sem lúta eftirliti [opinbers eftirlitsaðila].</w:t>
      </w:r>
      <w:r w:rsidRPr="006D6EDB">
        <w:rPr>
          <w:rFonts w:cstheme="minorHAnsi"/>
          <w:color w:val="000000"/>
          <w:sz w:val="23"/>
          <w:szCs w:val="23"/>
          <w:vertAlign w:val="superscript"/>
          <w:lang w:val="is-IS"/>
        </w:rPr>
        <w:t>3)</w:t>
      </w:r>
      <w:r w:rsidRPr="006D6EDB">
        <w:rPr>
          <w:rFonts w:cstheme="minorHAnsi"/>
          <w:color w:val="000000"/>
          <w:sz w:val="23"/>
          <w:szCs w:val="23"/>
          <w:lang w:val="is-IS"/>
        </w:rPr>
        <w:br/>
        <w:t>   </w:t>
      </w:r>
      <w:bookmarkStart w:id="11" w:name="G36M1L6"/>
      <w:bookmarkEnd w:id="10"/>
      <w:r w:rsidRPr="006D6EDB">
        <w:rPr>
          <w:rFonts w:cstheme="minorHAnsi"/>
          <w:color w:val="000000"/>
          <w:sz w:val="23"/>
          <w:szCs w:val="23"/>
          <w:lang w:val="is-IS"/>
        </w:rPr>
        <w:t>6. Í hlutabréfum fyrirtækja.</w:t>
      </w:r>
      <w:r w:rsidRPr="006D6EDB">
        <w:rPr>
          <w:rFonts w:cstheme="minorHAnsi"/>
          <w:color w:val="000000"/>
          <w:sz w:val="23"/>
          <w:szCs w:val="23"/>
          <w:lang w:val="is-IS"/>
        </w:rPr>
        <w:br/>
        <w:t>   </w:t>
      </w:r>
      <w:bookmarkStart w:id="12" w:name="G36M1L7"/>
      <w:bookmarkEnd w:id="11"/>
      <w:r w:rsidRPr="006D6EDB">
        <w:rPr>
          <w:rFonts w:cstheme="minorHAnsi"/>
          <w:color w:val="000000"/>
          <w:sz w:val="23"/>
          <w:szCs w:val="23"/>
          <w:lang w:val="is-IS"/>
        </w:rPr>
        <w:t>7. [Í hlutdeildarskírteinum eða hlutum verðbréfasjóða eða fjárfestingarsjóða samkvæmt</w:t>
      </w:r>
      <w:r w:rsidRPr="006D6EDB">
        <w:rPr>
          <w:rStyle w:val="apple-converted-space"/>
          <w:rFonts w:cstheme="minorHAnsi"/>
          <w:color w:val="000000"/>
          <w:sz w:val="23"/>
          <w:szCs w:val="23"/>
          <w:lang w:val="is-IS"/>
        </w:rPr>
        <w:t> </w:t>
      </w:r>
      <w:bookmarkEnd w:id="12"/>
      <w:r w:rsidRPr="006D6EDB">
        <w:rPr>
          <w:rFonts w:cstheme="minorHAnsi"/>
          <w:sz w:val="23"/>
          <w:szCs w:val="23"/>
          <w:lang w:val="is-IS"/>
        </w:rPr>
        <w:fldChar w:fldCharType="begin"/>
      </w:r>
      <w:r w:rsidRPr="006D6EDB">
        <w:rPr>
          <w:rFonts w:cstheme="minorHAnsi"/>
          <w:sz w:val="23"/>
          <w:szCs w:val="23"/>
          <w:lang w:val="is-IS"/>
        </w:rPr>
        <w:instrText xml:space="preserve"> HYPERLINK "http://www.althingi.is/lagas/nuna/2003030.html" </w:instrText>
      </w:r>
      <w:r w:rsidRPr="006D6EDB">
        <w:rPr>
          <w:rFonts w:cstheme="minorHAnsi"/>
          <w:sz w:val="23"/>
          <w:szCs w:val="23"/>
          <w:lang w:val="is-IS"/>
        </w:rPr>
        <w:fldChar w:fldCharType="separate"/>
      </w:r>
      <w:r w:rsidRPr="006D6EDB">
        <w:rPr>
          <w:rStyle w:val="Hyperlink"/>
          <w:rFonts w:cstheme="minorHAnsi"/>
          <w:sz w:val="23"/>
          <w:szCs w:val="23"/>
          <w:lang w:val="is-IS"/>
        </w:rPr>
        <w:t>lögum nr. 30/2003</w:t>
      </w:r>
      <w:r w:rsidRPr="006D6EDB">
        <w:rPr>
          <w:rFonts w:cstheme="minorHAnsi"/>
          <w:sz w:val="23"/>
          <w:szCs w:val="23"/>
          <w:lang w:val="is-IS"/>
        </w:rPr>
        <w:fldChar w:fldCharType="end"/>
      </w:r>
      <w:r w:rsidRPr="006D6EDB">
        <w:rPr>
          <w:rFonts w:cstheme="minorHAnsi"/>
          <w:color w:val="000000"/>
          <w:sz w:val="23"/>
          <w:szCs w:val="23"/>
          <w:lang w:val="is-IS"/>
        </w:rPr>
        <w:t>, um verðbréfasjóði og fjárfestingarsjóði, [eða tilskipun 85/611/EBE um sameiginlega fjárfestingu í framseljanlegum verðbréfum (UCITS-tilskipuninni)]</w:t>
      </w:r>
      <w:r w:rsidRPr="006D6EDB">
        <w:rPr>
          <w:rFonts w:cstheme="minorHAnsi"/>
          <w:color w:val="000000"/>
          <w:sz w:val="23"/>
          <w:szCs w:val="23"/>
          <w:vertAlign w:val="superscript"/>
          <w:lang w:val="is-IS"/>
        </w:rPr>
        <w:t>1)</w:t>
      </w:r>
      <w:r w:rsidRPr="006D6EDB">
        <w:rPr>
          <w:rStyle w:val="apple-converted-space"/>
          <w:rFonts w:cstheme="minorHAnsi"/>
          <w:color w:val="000000"/>
          <w:sz w:val="23"/>
          <w:szCs w:val="23"/>
          <w:lang w:val="is-IS"/>
        </w:rPr>
        <w:t> </w:t>
      </w:r>
      <w:r w:rsidRPr="006D6EDB">
        <w:rPr>
          <w:rFonts w:cstheme="minorHAnsi"/>
          <w:color w:val="000000"/>
          <w:sz w:val="23"/>
          <w:szCs w:val="23"/>
          <w:lang w:val="is-IS"/>
        </w:rPr>
        <w:t>en verðbréfasafni að baki skírteinunum eða hlutunum skal skipt á aðra töluliði þessarar málsgreinar með tilliti til takmarkana í 2.–6. mgr.]</w:t>
      </w:r>
      <w:r w:rsidRPr="006D6EDB">
        <w:rPr>
          <w:rFonts w:cstheme="minorHAnsi"/>
          <w:color w:val="000000"/>
          <w:sz w:val="23"/>
          <w:szCs w:val="23"/>
          <w:vertAlign w:val="superscript"/>
          <w:lang w:val="is-IS"/>
        </w:rPr>
        <w:t>4)</w:t>
      </w:r>
      <w:r w:rsidRPr="006D6EDB">
        <w:rPr>
          <w:rFonts w:cstheme="minorHAnsi"/>
          <w:color w:val="000000"/>
          <w:sz w:val="23"/>
          <w:szCs w:val="23"/>
          <w:lang w:val="is-IS"/>
        </w:rPr>
        <w:br/>
        <w:t>   </w:t>
      </w:r>
      <w:bookmarkStart w:id="13" w:name="G36M1L8"/>
      <w:r w:rsidRPr="006D6EDB">
        <w:rPr>
          <w:rFonts w:cstheme="minorHAnsi"/>
          <w:color w:val="000000"/>
          <w:sz w:val="23"/>
          <w:szCs w:val="23"/>
          <w:lang w:val="is-IS"/>
        </w:rPr>
        <w:t>[8. Í hlutdeildarskírteinum eða hlutum annarra sjóða um sameiginlega fjárfestingu.]</w:t>
      </w:r>
      <w:r w:rsidRPr="006D6EDB">
        <w:rPr>
          <w:rFonts w:cstheme="minorHAnsi"/>
          <w:color w:val="000000"/>
          <w:sz w:val="23"/>
          <w:szCs w:val="23"/>
          <w:vertAlign w:val="superscript"/>
          <w:lang w:val="is-IS"/>
        </w:rPr>
        <w:t>4)</w:t>
      </w:r>
      <w:r w:rsidRPr="006D6EDB">
        <w:rPr>
          <w:rFonts w:cstheme="minorHAnsi"/>
          <w:color w:val="000000"/>
          <w:sz w:val="23"/>
          <w:szCs w:val="23"/>
          <w:lang w:val="is-IS"/>
        </w:rPr>
        <w:br/>
        <w:t>   </w:t>
      </w:r>
      <w:bookmarkStart w:id="14" w:name="G36M1L9"/>
      <w:bookmarkEnd w:id="13"/>
      <w:r w:rsidRPr="006D6EDB">
        <w:rPr>
          <w:rFonts w:cstheme="minorHAnsi"/>
          <w:color w:val="000000"/>
          <w:sz w:val="23"/>
          <w:szCs w:val="23"/>
          <w:lang w:val="is-IS"/>
        </w:rPr>
        <w:t>[9. ]</w:t>
      </w:r>
      <w:r w:rsidRPr="006D6EDB">
        <w:rPr>
          <w:rFonts w:cstheme="minorHAnsi"/>
          <w:color w:val="000000"/>
          <w:sz w:val="23"/>
          <w:szCs w:val="23"/>
          <w:vertAlign w:val="superscript"/>
          <w:lang w:val="is-IS"/>
        </w:rPr>
        <w:t>4)</w:t>
      </w:r>
      <w:r w:rsidRPr="006D6EDB">
        <w:rPr>
          <w:rStyle w:val="apple-converted-space"/>
          <w:rFonts w:cstheme="minorHAnsi"/>
          <w:color w:val="000000"/>
          <w:sz w:val="23"/>
          <w:szCs w:val="23"/>
          <w:lang w:val="is-IS"/>
        </w:rPr>
        <w:t> </w:t>
      </w:r>
      <w:r w:rsidRPr="006D6EDB">
        <w:rPr>
          <w:rFonts w:cstheme="minorHAnsi"/>
          <w:color w:val="000000"/>
          <w:sz w:val="23"/>
          <w:szCs w:val="23"/>
          <w:lang w:val="is-IS"/>
        </w:rPr>
        <w:t>Í öðrum verðbréfum.</w:t>
      </w:r>
      <w:r w:rsidRPr="006D6EDB">
        <w:rPr>
          <w:rFonts w:cstheme="minorHAnsi"/>
          <w:color w:val="000000"/>
          <w:sz w:val="23"/>
          <w:szCs w:val="23"/>
          <w:lang w:val="is-IS"/>
        </w:rPr>
        <w:br/>
      </w:r>
      <w:r w:rsidRPr="006D6EDB">
        <w:rPr>
          <w:rFonts w:cstheme="minorHAnsi"/>
          <w:color w:val="000000"/>
          <w:sz w:val="23"/>
          <w:szCs w:val="23"/>
          <w:lang w:val="is-IS"/>
        </w:rPr>
        <w:lastRenderedPageBreak/>
        <w:t>   </w:t>
      </w:r>
      <w:bookmarkStart w:id="15" w:name="G36M1L10"/>
      <w:bookmarkEnd w:id="14"/>
      <w:r w:rsidRPr="006D6EDB">
        <w:rPr>
          <w:rFonts w:cstheme="minorHAnsi"/>
          <w:color w:val="000000"/>
          <w:sz w:val="23"/>
          <w:szCs w:val="23"/>
          <w:lang w:val="is-IS"/>
        </w:rPr>
        <w:t>[10. ]</w:t>
      </w:r>
      <w:r w:rsidRPr="006D6EDB">
        <w:rPr>
          <w:rFonts w:cstheme="minorHAnsi"/>
          <w:color w:val="000000"/>
          <w:sz w:val="23"/>
          <w:szCs w:val="23"/>
          <w:vertAlign w:val="superscript"/>
          <w:lang w:val="is-IS"/>
        </w:rPr>
        <w:t>4)</w:t>
      </w:r>
      <w:r w:rsidRPr="006D6EDB">
        <w:rPr>
          <w:rStyle w:val="apple-converted-space"/>
          <w:rFonts w:cstheme="minorHAnsi"/>
          <w:color w:val="000000"/>
          <w:sz w:val="23"/>
          <w:szCs w:val="23"/>
          <w:lang w:val="is-IS"/>
        </w:rPr>
        <w:t> </w:t>
      </w:r>
      <w:r w:rsidRPr="006D6EDB">
        <w:rPr>
          <w:rFonts w:cstheme="minorHAnsi"/>
          <w:color w:val="000000"/>
          <w:sz w:val="23"/>
          <w:szCs w:val="23"/>
          <w:lang w:val="is-IS"/>
        </w:rPr>
        <w:t>Með gerð afleiðusamninga sem draga úr áhættu sjóðsins.</w:t>
      </w:r>
      <w:r w:rsidRPr="006D6EDB">
        <w:rPr>
          <w:rFonts w:cstheme="minorHAnsi"/>
          <w:color w:val="000000"/>
          <w:sz w:val="23"/>
          <w:szCs w:val="23"/>
          <w:lang w:val="is-IS"/>
        </w:rPr>
        <w:br/>
        <w:t>   </w:t>
      </w:r>
      <w:bookmarkStart w:id="16" w:name="G36M1L11"/>
      <w:bookmarkEnd w:id="15"/>
      <w:r w:rsidRPr="006D6EDB">
        <w:rPr>
          <w:rFonts w:cstheme="minorHAnsi"/>
          <w:color w:val="000000"/>
          <w:sz w:val="23"/>
          <w:szCs w:val="23"/>
          <w:lang w:val="is-IS"/>
        </w:rPr>
        <w:t>[11. Með kaupum og rekstri íbúðarhúsnæðis, þar á meðal útleigu.]</w:t>
      </w:r>
      <w:r w:rsidRPr="006D6EDB">
        <w:rPr>
          <w:rFonts w:cstheme="minorHAnsi"/>
          <w:color w:val="000000"/>
          <w:sz w:val="23"/>
          <w:szCs w:val="23"/>
          <w:vertAlign w:val="superscript"/>
          <w:lang w:val="is-IS"/>
        </w:rPr>
        <w:t>5)</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23B5AF09" wp14:editId="0C08A5F8">
            <wp:extent cx="102235" cy="102235"/>
            <wp:effectExtent l="0" t="0" r="0" b="0"/>
            <wp:docPr id="25" name="Picture 25"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17" w:name="G36M2"/>
      <w:bookmarkEnd w:id="16"/>
      <w:r w:rsidRPr="006D6EDB">
        <w:rPr>
          <w:rStyle w:val="apple-converted-space"/>
          <w:rFonts w:cstheme="minorHAnsi"/>
          <w:color w:val="000000"/>
          <w:sz w:val="23"/>
          <w:szCs w:val="23"/>
          <w:lang w:val="is-IS"/>
        </w:rPr>
        <w:t> </w:t>
      </w:r>
      <w:r w:rsidRPr="006D6EDB">
        <w:rPr>
          <w:rFonts w:cstheme="minorHAnsi"/>
          <w:color w:val="000000"/>
          <w:sz w:val="23"/>
          <w:szCs w:val="23"/>
          <w:lang w:val="is-IS"/>
        </w:rPr>
        <w:t>[Verðbréf skv. 1., 2., 5., 6., 8. og 9. tölul. 1. mgr. skulu hafa skráð kaup- og sölugengi á skipulegum markaði.]</w:t>
      </w:r>
      <w:r w:rsidRPr="006D6EDB">
        <w:rPr>
          <w:rFonts w:cstheme="minorHAnsi"/>
          <w:color w:val="000000"/>
          <w:sz w:val="23"/>
          <w:szCs w:val="23"/>
          <w:vertAlign w:val="superscript"/>
          <w:lang w:val="is-IS"/>
        </w:rPr>
        <w:t>6)</w:t>
      </w:r>
      <w:r w:rsidRPr="006D6EDB">
        <w:rPr>
          <w:rStyle w:val="apple-converted-space"/>
          <w:rFonts w:cstheme="minorHAnsi"/>
          <w:color w:val="000000"/>
          <w:sz w:val="23"/>
          <w:szCs w:val="23"/>
          <w:lang w:val="is-IS"/>
        </w:rPr>
        <w:t> </w:t>
      </w:r>
      <w:r w:rsidRPr="006D6EDB">
        <w:rPr>
          <w:rFonts w:cstheme="minorHAnsi"/>
          <w:color w:val="000000"/>
          <w:sz w:val="23"/>
          <w:szCs w:val="23"/>
          <w:lang w:val="is-IS"/>
        </w:rPr>
        <w:t>Með skipulegum markaði er átt við skipulegan verðbréfamarkað innan aðildarríkja Efnahags- og framfarastofnunarinnar (OECD) [og [ríkja Evrópska efnahagssvæðisins]</w:t>
      </w:r>
      <w:r w:rsidRPr="006D6EDB">
        <w:rPr>
          <w:rFonts w:cstheme="minorHAnsi"/>
          <w:color w:val="000000"/>
          <w:sz w:val="23"/>
          <w:szCs w:val="23"/>
          <w:vertAlign w:val="superscript"/>
          <w:lang w:val="is-IS"/>
        </w:rPr>
        <w:t>1)</w:t>
      </w:r>
      <w:r w:rsidRPr="006D6EDB">
        <w:rPr>
          <w:rFonts w:cstheme="minorHAnsi"/>
          <w:color w:val="000000"/>
          <w:sz w:val="23"/>
          <w:szCs w:val="23"/>
          <w:lang w:val="is-IS"/>
        </w:rPr>
        <w:t>]</w:t>
      </w:r>
      <w:r w:rsidRPr="006D6EDB">
        <w:rPr>
          <w:rFonts w:cstheme="minorHAnsi"/>
          <w:color w:val="000000"/>
          <w:sz w:val="23"/>
          <w:szCs w:val="23"/>
          <w:vertAlign w:val="superscript"/>
          <w:lang w:val="is-IS"/>
        </w:rPr>
        <w:t>7)</w:t>
      </w:r>
      <w:r w:rsidRPr="006D6EDB">
        <w:rPr>
          <w:rStyle w:val="apple-converted-space"/>
          <w:rFonts w:cstheme="minorHAnsi"/>
          <w:color w:val="000000"/>
          <w:sz w:val="23"/>
          <w:szCs w:val="23"/>
          <w:lang w:val="is-IS"/>
        </w:rPr>
        <w:t> </w:t>
      </w:r>
      <w:r w:rsidRPr="006D6EDB">
        <w:rPr>
          <w:rFonts w:cstheme="minorHAnsi"/>
          <w:color w:val="000000"/>
          <w:sz w:val="23"/>
          <w:szCs w:val="23"/>
          <w:lang w:val="is-IS"/>
        </w:rPr>
        <w:t>sem starfar reglulega, er opinn almenningi og viðurkenndur með þeim hætti sem [Fjármálaeftirlitið]</w:t>
      </w:r>
      <w:r w:rsidRPr="006D6EDB">
        <w:rPr>
          <w:rFonts w:cstheme="minorHAnsi"/>
          <w:color w:val="000000"/>
          <w:sz w:val="23"/>
          <w:szCs w:val="23"/>
          <w:vertAlign w:val="superscript"/>
          <w:lang w:val="is-IS"/>
        </w:rPr>
        <w:t>8)</w:t>
      </w:r>
      <w:r w:rsidRPr="006D6EDB">
        <w:rPr>
          <w:rStyle w:val="apple-converted-space"/>
          <w:rFonts w:cstheme="minorHAnsi"/>
          <w:color w:val="000000"/>
          <w:sz w:val="23"/>
          <w:szCs w:val="23"/>
          <w:lang w:val="is-IS"/>
        </w:rPr>
        <w:t> </w:t>
      </w:r>
      <w:r w:rsidRPr="006D6EDB">
        <w:rPr>
          <w:rFonts w:cstheme="minorHAnsi"/>
          <w:color w:val="000000"/>
          <w:sz w:val="23"/>
          <w:szCs w:val="23"/>
          <w:lang w:val="is-IS"/>
        </w:rPr>
        <w:t>metur gildan. Sé markaðurinn utan ríkja OECD [eða [ríkja Evrópska efnahagssvæðisins]</w:t>
      </w:r>
      <w:r w:rsidRPr="006D6EDB">
        <w:rPr>
          <w:rFonts w:cstheme="minorHAnsi"/>
          <w:color w:val="000000"/>
          <w:sz w:val="23"/>
          <w:szCs w:val="23"/>
          <w:vertAlign w:val="superscript"/>
          <w:lang w:val="is-IS"/>
        </w:rPr>
        <w:t>1)</w:t>
      </w:r>
      <w:r w:rsidRPr="006D6EDB">
        <w:rPr>
          <w:rFonts w:cstheme="minorHAnsi"/>
          <w:color w:val="000000"/>
          <w:sz w:val="23"/>
          <w:szCs w:val="23"/>
          <w:lang w:val="is-IS"/>
        </w:rPr>
        <w:t>]</w:t>
      </w:r>
      <w:r w:rsidRPr="006D6EDB">
        <w:rPr>
          <w:rFonts w:cstheme="minorHAnsi"/>
          <w:color w:val="000000"/>
          <w:sz w:val="23"/>
          <w:szCs w:val="23"/>
          <w:vertAlign w:val="superscript"/>
          <w:lang w:val="is-IS"/>
        </w:rPr>
        <w:t>7)</w:t>
      </w:r>
      <w:r w:rsidRPr="006D6EDB">
        <w:rPr>
          <w:rStyle w:val="apple-converted-space"/>
          <w:rFonts w:cstheme="minorHAnsi"/>
          <w:color w:val="000000"/>
          <w:sz w:val="23"/>
          <w:szCs w:val="23"/>
          <w:lang w:val="is-IS"/>
        </w:rPr>
        <w:t> </w:t>
      </w:r>
      <w:r w:rsidRPr="006D6EDB">
        <w:rPr>
          <w:rFonts w:cstheme="minorHAnsi"/>
          <w:color w:val="000000"/>
          <w:sz w:val="23"/>
          <w:szCs w:val="23"/>
          <w:lang w:val="is-IS"/>
        </w:rPr>
        <w:t>skal [Fjármálaeftirlitið]</w:t>
      </w:r>
      <w:r w:rsidRPr="006D6EDB">
        <w:rPr>
          <w:rFonts w:cstheme="minorHAnsi"/>
          <w:color w:val="000000"/>
          <w:sz w:val="23"/>
          <w:szCs w:val="23"/>
          <w:vertAlign w:val="superscript"/>
          <w:lang w:val="is-IS"/>
        </w:rPr>
        <w:t>8)</w:t>
      </w:r>
      <w:r w:rsidRPr="006D6EDB">
        <w:rPr>
          <w:rStyle w:val="apple-converted-space"/>
          <w:rFonts w:cstheme="minorHAnsi"/>
          <w:color w:val="000000"/>
          <w:sz w:val="23"/>
          <w:szCs w:val="23"/>
          <w:lang w:val="is-IS"/>
        </w:rPr>
        <w:t> </w:t>
      </w:r>
      <w:r w:rsidRPr="006D6EDB">
        <w:rPr>
          <w:rFonts w:cstheme="minorHAnsi"/>
          <w:color w:val="000000"/>
          <w:sz w:val="23"/>
          <w:szCs w:val="23"/>
          <w:lang w:val="is-IS"/>
        </w:rPr>
        <w:t>hafa viðurkennt hann.</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42D3C953" wp14:editId="51DF51C3">
            <wp:extent cx="102235" cy="102235"/>
            <wp:effectExtent l="0" t="0" r="0" b="0"/>
            <wp:docPr id="24" name="Picture 24"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18" w:name="G36M3"/>
      <w:bookmarkEnd w:id="17"/>
      <w:r w:rsidRPr="006D6EDB">
        <w:rPr>
          <w:rStyle w:val="apple-converted-space"/>
          <w:rFonts w:cstheme="minorHAnsi"/>
          <w:color w:val="000000"/>
          <w:sz w:val="23"/>
          <w:szCs w:val="23"/>
          <w:lang w:val="is-IS"/>
        </w:rPr>
        <w:t> </w:t>
      </w:r>
      <w:r w:rsidRPr="006D6EDB">
        <w:rPr>
          <w:rFonts w:cstheme="minorHAnsi"/>
          <w:color w:val="000000"/>
          <w:sz w:val="23"/>
          <w:szCs w:val="23"/>
          <w:lang w:val="is-IS"/>
        </w:rPr>
        <w:t>[Þrátt fyrir ákvæði 2. mgr. er heimilt að fjárfesta fyrir allt að [20%]</w:t>
      </w:r>
      <w:r w:rsidRPr="006D6EDB">
        <w:rPr>
          <w:rFonts w:cstheme="minorHAnsi"/>
          <w:color w:val="000000"/>
          <w:sz w:val="23"/>
          <w:szCs w:val="23"/>
          <w:vertAlign w:val="superscript"/>
          <w:lang w:val="is-IS"/>
        </w:rPr>
        <w:t>1)</w:t>
      </w:r>
      <w:r w:rsidRPr="006D6EDB">
        <w:rPr>
          <w:rStyle w:val="apple-converted-space"/>
          <w:rFonts w:cstheme="minorHAnsi"/>
          <w:color w:val="000000"/>
          <w:sz w:val="23"/>
          <w:szCs w:val="23"/>
          <w:lang w:val="is-IS"/>
        </w:rPr>
        <w:t> </w:t>
      </w:r>
      <w:r w:rsidRPr="006D6EDB">
        <w:rPr>
          <w:rFonts w:cstheme="minorHAnsi"/>
          <w:color w:val="000000"/>
          <w:sz w:val="23"/>
          <w:szCs w:val="23"/>
          <w:lang w:val="is-IS"/>
        </w:rPr>
        <w:t>af hreinni eign sjóðsins í verðbréfum sem falla undir [1., 2., 5., 6., 8. og 9.]</w:t>
      </w:r>
      <w:r w:rsidRPr="006D6EDB">
        <w:rPr>
          <w:rFonts w:cstheme="minorHAnsi"/>
          <w:color w:val="000000"/>
          <w:sz w:val="23"/>
          <w:szCs w:val="23"/>
          <w:vertAlign w:val="superscript"/>
          <w:lang w:val="is-IS"/>
        </w:rPr>
        <w:t>4)</w:t>
      </w:r>
      <w:r w:rsidRPr="006D6EDB">
        <w:rPr>
          <w:rStyle w:val="apple-converted-space"/>
          <w:rFonts w:cstheme="minorHAnsi"/>
          <w:color w:val="000000"/>
          <w:sz w:val="23"/>
          <w:szCs w:val="23"/>
          <w:lang w:val="is-IS"/>
        </w:rPr>
        <w:t> </w:t>
      </w:r>
      <w:r w:rsidRPr="006D6EDB">
        <w:rPr>
          <w:rFonts w:cstheme="minorHAnsi"/>
          <w:color w:val="000000"/>
          <w:sz w:val="23"/>
          <w:szCs w:val="23"/>
          <w:lang w:val="is-IS"/>
        </w:rPr>
        <w:t>tölul. 1. mgr. og ekki eru skráð á skipulegum markaði, enda séu verðbréfin gefin út af aðilum innan aðildarríkja OECD [eða [ríkja Evrópska efnahagssvæðisins]</w:t>
      </w:r>
      <w:r w:rsidRPr="006D6EDB">
        <w:rPr>
          <w:rFonts w:cstheme="minorHAnsi"/>
          <w:color w:val="000000"/>
          <w:sz w:val="23"/>
          <w:szCs w:val="23"/>
          <w:vertAlign w:val="superscript"/>
          <w:lang w:val="is-IS"/>
        </w:rPr>
        <w:t>1)</w:t>
      </w:r>
      <w:r w:rsidRPr="006D6EDB">
        <w:rPr>
          <w:rFonts w:cstheme="minorHAnsi"/>
          <w:color w:val="000000"/>
          <w:sz w:val="23"/>
          <w:szCs w:val="23"/>
          <w:lang w:val="is-IS"/>
        </w:rPr>
        <w:t>].</w:t>
      </w:r>
      <w:r w:rsidRPr="006D6EDB">
        <w:rPr>
          <w:rFonts w:cstheme="minorHAnsi"/>
          <w:color w:val="000000"/>
          <w:sz w:val="23"/>
          <w:szCs w:val="23"/>
          <w:vertAlign w:val="superscript"/>
          <w:lang w:val="is-IS"/>
        </w:rPr>
        <w:t>7)</w:t>
      </w:r>
      <w:r w:rsidRPr="006D6EDB">
        <w:rPr>
          <w:rStyle w:val="apple-converted-space"/>
          <w:rFonts w:cstheme="minorHAnsi"/>
          <w:color w:val="000000"/>
          <w:sz w:val="23"/>
          <w:szCs w:val="23"/>
          <w:lang w:val="is-IS"/>
        </w:rPr>
        <w:t> </w:t>
      </w:r>
      <w:r w:rsidRPr="006D6EDB">
        <w:rPr>
          <w:rFonts w:cstheme="minorHAnsi"/>
          <w:color w:val="000000"/>
          <w:sz w:val="23"/>
          <w:szCs w:val="23"/>
          <w:lang w:val="is-IS"/>
        </w:rPr>
        <w:t>[Fjárfestingar í óskráðum hlutabréfum skv. 6. tölul. 1. mgr. eru þó eingöngu heimilar ef engar hömlur eru á viðskiptum með hlutabréfin og ársreikningar hlutafélaganna öllum aðgengilegir.]</w:t>
      </w:r>
      <w:r w:rsidRPr="006D6EDB">
        <w:rPr>
          <w:rFonts w:cstheme="minorHAnsi"/>
          <w:color w:val="000000"/>
          <w:sz w:val="23"/>
          <w:szCs w:val="23"/>
          <w:vertAlign w:val="superscript"/>
          <w:lang w:val="is-IS"/>
        </w:rPr>
        <w:t>9)</w:t>
      </w:r>
      <w:r w:rsidRPr="006D6EDB">
        <w:rPr>
          <w:rStyle w:val="apple-converted-space"/>
          <w:rFonts w:cstheme="minorHAnsi"/>
          <w:color w:val="000000"/>
          <w:sz w:val="23"/>
          <w:szCs w:val="23"/>
          <w:lang w:val="is-IS"/>
        </w:rPr>
        <w:t> </w:t>
      </w:r>
      <w:r w:rsidRPr="006D6EDB">
        <w:rPr>
          <w:rFonts w:cstheme="minorHAnsi"/>
          <w:color w:val="000000"/>
          <w:sz w:val="23"/>
          <w:szCs w:val="23"/>
          <w:lang w:val="is-IS"/>
        </w:rPr>
        <w:t>[Fjárfestingar í hlutdeildarskírteinum eða hlutum annarra sjóða um sameiginlega fjárfestingu skv. 8. tölul. 1. mgr. eru eingöngu heimilar ef engar hömlur eru á viðskiptum með eignarhlutina. Ákvæði um að rekstrar- eða ábyrgðaraðili sjóðs um sameiginlega fjárfestingu skv. 8. tölul. 1. mgr. eigi forkaupsrétt á eignarhlut eða þurfi að samþykkja kaupanda að eignarhlut í sjóðnum teljast ekki hamla viðskiptum.]</w:t>
      </w:r>
      <w:r w:rsidRPr="006D6EDB">
        <w:rPr>
          <w:rFonts w:cstheme="minorHAnsi"/>
          <w:color w:val="000000"/>
          <w:sz w:val="23"/>
          <w:szCs w:val="23"/>
          <w:vertAlign w:val="superscript"/>
          <w:lang w:val="is-IS"/>
        </w:rPr>
        <w:t>9)</w:t>
      </w:r>
      <w:r w:rsidRPr="006D6EDB">
        <w:rPr>
          <w:rStyle w:val="apple-converted-space"/>
          <w:rFonts w:cstheme="minorHAnsi"/>
          <w:color w:val="000000"/>
          <w:sz w:val="23"/>
          <w:szCs w:val="23"/>
          <w:lang w:val="is-IS"/>
        </w:rPr>
        <w:t> </w:t>
      </w:r>
      <w:r w:rsidRPr="006D6EDB">
        <w:rPr>
          <w:rFonts w:cstheme="minorHAnsi"/>
          <w:color w:val="000000"/>
          <w:sz w:val="23"/>
          <w:szCs w:val="23"/>
          <w:lang w:val="is-IS"/>
        </w:rPr>
        <w:t>[Nú greiðir bakábyrgðaraðili lífeyrissjóðs, sem nýtur bakábyrgðar ríkis, sveitarfélaga eða banka, inn á skuldbindingu sína við sjóðinn með verðbréfum skv. 1. tölul. 1. mgr. sem ekki eru skráð á skipulegum markaði, og skal sjóðnum þá heimilt að eiga slík verðbréf óháð takmörkunum skv. 1. málsl. þessarar málsgreinar.]</w:t>
      </w:r>
      <w:r w:rsidRPr="006D6EDB">
        <w:rPr>
          <w:rFonts w:cstheme="minorHAnsi"/>
          <w:color w:val="000000"/>
          <w:sz w:val="23"/>
          <w:szCs w:val="23"/>
          <w:vertAlign w:val="superscript"/>
          <w:lang w:val="is-IS"/>
        </w:rPr>
        <w:t>10)</w:t>
      </w:r>
      <w:r w:rsidRPr="006D6EDB">
        <w:rPr>
          <w:rFonts w:cstheme="minorHAnsi"/>
          <w:color w:val="000000"/>
          <w:sz w:val="23"/>
          <w:szCs w:val="23"/>
          <w:lang w:val="is-IS"/>
        </w:rPr>
        <w:t>]</w:t>
      </w:r>
      <w:r w:rsidRPr="006D6EDB">
        <w:rPr>
          <w:rFonts w:cstheme="minorHAnsi"/>
          <w:color w:val="000000"/>
          <w:sz w:val="23"/>
          <w:szCs w:val="23"/>
          <w:vertAlign w:val="superscript"/>
          <w:lang w:val="is-IS"/>
        </w:rPr>
        <w:t>3)</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7F509328" wp14:editId="512A6642">
            <wp:extent cx="102235" cy="102235"/>
            <wp:effectExtent l="0" t="0" r="0" b="0"/>
            <wp:docPr id="23" name="Picture 23"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19" w:name="G36M4"/>
      <w:bookmarkEnd w:id="18"/>
      <w:r w:rsidRPr="006D6EDB">
        <w:rPr>
          <w:rStyle w:val="apple-converted-space"/>
          <w:rFonts w:cstheme="minorHAnsi"/>
          <w:color w:val="000000"/>
          <w:sz w:val="23"/>
          <w:szCs w:val="23"/>
          <w:lang w:val="is-IS"/>
        </w:rPr>
        <w:t> </w:t>
      </w:r>
      <w:r w:rsidRPr="006D6EDB">
        <w:rPr>
          <w:rFonts w:cstheme="minorHAnsi"/>
          <w:color w:val="000000"/>
          <w:sz w:val="23"/>
          <w:szCs w:val="23"/>
          <w:lang w:val="is-IS"/>
        </w:rPr>
        <w:t>[Eign lífeyrissjóðs í einstökum tegundum verðbréfa skv. [2., 5., …</w:t>
      </w:r>
      <w:r w:rsidRPr="006D6EDB">
        <w:rPr>
          <w:rFonts w:cstheme="minorHAnsi"/>
          <w:color w:val="000000"/>
          <w:sz w:val="23"/>
          <w:szCs w:val="23"/>
          <w:vertAlign w:val="superscript"/>
          <w:lang w:val="is-IS"/>
        </w:rPr>
        <w:t>2)</w:t>
      </w:r>
      <w:r w:rsidRPr="006D6EDB">
        <w:rPr>
          <w:rStyle w:val="apple-converted-space"/>
          <w:rFonts w:cstheme="minorHAnsi"/>
          <w:color w:val="000000"/>
          <w:sz w:val="23"/>
          <w:szCs w:val="23"/>
          <w:lang w:val="is-IS"/>
        </w:rPr>
        <w:t> </w:t>
      </w:r>
      <w:r w:rsidRPr="006D6EDB">
        <w:rPr>
          <w:rFonts w:cstheme="minorHAnsi"/>
          <w:color w:val="000000"/>
          <w:sz w:val="23"/>
          <w:szCs w:val="23"/>
          <w:lang w:val="is-IS"/>
        </w:rPr>
        <w:t>8. og 9.]</w:t>
      </w:r>
      <w:r w:rsidRPr="006D6EDB">
        <w:rPr>
          <w:rFonts w:cstheme="minorHAnsi"/>
          <w:color w:val="000000"/>
          <w:sz w:val="23"/>
          <w:szCs w:val="23"/>
          <w:vertAlign w:val="superscript"/>
          <w:lang w:val="is-IS"/>
        </w:rPr>
        <w:t>4)</w:t>
      </w:r>
      <w:r w:rsidRPr="006D6EDB">
        <w:rPr>
          <w:rStyle w:val="apple-converted-space"/>
          <w:rFonts w:cstheme="minorHAnsi"/>
          <w:color w:val="000000"/>
          <w:sz w:val="23"/>
          <w:szCs w:val="23"/>
          <w:lang w:val="is-IS"/>
        </w:rPr>
        <w:t> </w:t>
      </w:r>
      <w:r w:rsidRPr="006D6EDB">
        <w:rPr>
          <w:rFonts w:cstheme="minorHAnsi"/>
          <w:color w:val="000000"/>
          <w:sz w:val="23"/>
          <w:szCs w:val="23"/>
          <w:lang w:val="is-IS"/>
        </w:rPr>
        <w:t>tölul. 1. mgr. skal ekki vera meiri en 50% af hreinni eign sjóðsins.]</w:t>
      </w:r>
      <w:r w:rsidRPr="006D6EDB">
        <w:rPr>
          <w:rFonts w:cstheme="minorHAnsi"/>
          <w:color w:val="000000"/>
          <w:sz w:val="23"/>
          <w:szCs w:val="23"/>
          <w:vertAlign w:val="superscript"/>
          <w:lang w:val="is-IS"/>
        </w:rPr>
        <w:t>3)</w:t>
      </w:r>
      <w:r w:rsidRPr="006D6EDB">
        <w:rPr>
          <w:rStyle w:val="apple-converted-space"/>
          <w:rFonts w:cstheme="minorHAnsi"/>
          <w:color w:val="000000"/>
          <w:sz w:val="23"/>
          <w:szCs w:val="23"/>
          <w:lang w:val="is-IS"/>
        </w:rPr>
        <w:t> </w:t>
      </w:r>
      <w:r w:rsidRPr="006D6EDB">
        <w:rPr>
          <w:rFonts w:cstheme="minorHAnsi"/>
          <w:color w:val="000000"/>
          <w:sz w:val="23"/>
          <w:szCs w:val="23"/>
          <w:lang w:val="is-IS"/>
        </w:rPr>
        <w:t>[Eign lífeyrissjóðs í hlutabréfum fyrirtækja skv. 6. tölul. 1. mgr. skal ekki vera meiri en 60% af hreinni eign sjóðsins.]</w:t>
      </w:r>
      <w:r w:rsidRPr="006D6EDB">
        <w:rPr>
          <w:rFonts w:cstheme="minorHAnsi"/>
          <w:color w:val="000000"/>
          <w:sz w:val="23"/>
          <w:szCs w:val="23"/>
          <w:vertAlign w:val="superscript"/>
          <w:lang w:val="is-IS"/>
        </w:rPr>
        <w:t>2)</w:t>
      </w:r>
      <w:r w:rsidRPr="006D6EDB">
        <w:rPr>
          <w:rStyle w:val="apple-converted-space"/>
          <w:rFonts w:cstheme="minorHAnsi"/>
          <w:color w:val="000000"/>
          <w:sz w:val="23"/>
          <w:szCs w:val="23"/>
          <w:lang w:val="is-IS"/>
        </w:rPr>
        <w:t> </w:t>
      </w:r>
      <w:r w:rsidRPr="006D6EDB">
        <w:rPr>
          <w:rFonts w:cstheme="minorHAnsi"/>
          <w:color w:val="000000"/>
          <w:sz w:val="23"/>
          <w:szCs w:val="23"/>
          <w:lang w:val="is-IS"/>
        </w:rPr>
        <w:t>[Þó skal samanlögð eign skv. 6. og 8. tölul. 1. mgr. ekki vera meiri en [60%]</w:t>
      </w:r>
      <w:r w:rsidRPr="006D6EDB">
        <w:rPr>
          <w:rFonts w:cstheme="minorHAnsi"/>
          <w:color w:val="000000"/>
          <w:sz w:val="23"/>
          <w:szCs w:val="23"/>
          <w:vertAlign w:val="superscript"/>
          <w:lang w:val="is-IS"/>
        </w:rPr>
        <w:t>2)</w:t>
      </w:r>
      <w:r w:rsidRPr="006D6EDB">
        <w:rPr>
          <w:rStyle w:val="apple-converted-space"/>
          <w:rFonts w:cstheme="minorHAnsi"/>
          <w:color w:val="000000"/>
          <w:sz w:val="23"/>
          <w:szCs w:val="23"/>
          <w:lang w:val="is-IS"/>
        </w:rPr>
        <w:t> </w:t>
      </w:r>
      <w:r w:rsidRPr="006D6EDB">
        <w:rPr>
          <w:rFonts w:cstheme="minorHAnsi"/>
          <w:color w:val="000000"/>
          <w:sz w:val="23"/>
          <w:szCs w:val="23"/>
          <w:lang w:val="is-IS"/>
        </w:rPr>
        <w:t>af hreinni eign sjóðsins. Eign lífeyrissjóðs skv. 8. tölul. 1. mgr. í sjóðum sem lúta ekki opinberu eftirliti skal þó aldrei vera meiri en 10% af hreinni eign sjóðsins.]</w:t>
      </w:r>
      <w:r w:rsidRPr="006D6EDB">
        <w:rPr>
          <w:rFonts w:cstheme="minorHAnsi"/>
          <w:color w:val="000000"/>
          <w:sz w:val="23"/>
          <w:szCs w:val="23"/>
          <w:vertAlign w:val="superscript"/>
          <w:lang w:val="is-IS"/>
        </w:rPr>
        <w:t>4)</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62A1CE10" wp14:editId="746B1EB7">
            <wp:extent cx="102235" cy="102235"/>
            <wp:effectExtent l="0" t="0" r="0" b="0"/>
            <wp:docPr id="22" name="Picture 22"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20" w:name="G36M5"/>
      <w:bookmarkEnd w:id="19"/>
      <w:r w:rsidRPr="006D6EDB">
        <w:rPr>
          <w:rStyle w:val="apple-converted-space"/>
          <w:rFonts w:cstheme="minorHAnsi"/>
          <w:color w:val="000000"/>
          <w:sz w:val="23"/>
          <w:szCs w:val="23"/>
          <w:lang w:val="is-IS"/>
        </w:rPr>
        <w:t> </w:t>
      </w:r>
      <w:r w:rsidRPr="006D6EDB">
        <w:rPr>
          <w:rFonts w:cstheme="minorHAnsi"/>
          <w:color w:val="000000"/>
          <w:sz w:val="23"/>
          <w:szCs w:val="23"/>
          <w:lang w:val="is-IS"/>
        </w:rPr>
        <w:t>[[Samanlögð eign sjóðsins í verðbréfum skv. 2.–9. tölul. 1. mgr. útgefnum af sama aðila, tengdum aðilum, sbr. lög um fjármálafyrirtæki, eða aðilum sem tilheyra sömu samstæðunni skal ekki vera meira en 10% af hreinni eign sjóðsins.]</w:t>
      </w:r>
      <w:r w:rsidRPr="006D6EDB">
        <w:rPr>
          <w:rFonts w:cstheme="minorHAnsi"/>
          <w:color w:val="000000"/>
          <w:sz w:val="23"/>
          <w:szCs w:val="23"/>
          <w:vertAlign w:val="superscript"/>
          <w:lang w:val="is-IS"/>
        </w:rPr>
        <w:t>1)</w:t>
      </w:r>
      <w:r w:rsidRPr="006D6EDB">
        <w:rPr>
          <w:rStyle w:val="apple-converted-space"/>
          <w:rFonts w:cstheme="minorHAnsi"/>
          <w:color w:val="000000"/>
          <w:sz w:val="23"/>
          <w:szCs w:val="23"/>
          <w:lang w:val="is-IS"/>
        </w:rPr>
        <w:t> </w:t>
      </w:r>
      <w:r w:rsidRPr="006D6EDB">
        <w:rPr>
          <w:rFonts w:cstheme="minorHAnsi"/>
          <w:color w:val="000000"/>
          <w:sz w:val="23"/>
          <w:szCs w:val="23"/>
          <w:lang w:val="is-IS"/>
        </w:rPr>
        <w:t>Þessi takmörkun skal vera 5% fyrir verðbréf skv. 9. tölul. Samanlögð eign sjóðsins í verðbréfum skv. 1. málsl. og innlánum skv. 4. tölul. 1. mgr. skal ekki vera meiri en 25% af hreinni eign sjóðsins. Eigi er lífeyrissjóði heimilt að eiga meira en 15% af hlutafé í hverju fyrirtæki eða í hlutdeildarskírteinum eða hlutum annarra sjóða um sameiginlega fjárfestingu né meira en 25% af hlutdeildarskírteinum eða hlutum útgefnum af sama verðbréfasjóði eða fjárfestingarsjóði eða einstakri deild hans. [Eigi er lífeyrissjóði eða einstakri deild hans heimilt að hafa meira en 25% af hreinni eign sinni í verðbréfasjóðum [og fjárfestingarsjóðum]</w:t>
      </w:r>
      <w:r w:rsidRPr="006D6EDB">
        <w:rPr>
          <w:rFonts w:cstheme="minorHAnsi"/>
          <w:color w:val="000000"/>
          <w:sz w:val="23"/>
          <w:szCs w:val="23"/>
          <w:vertAlign w:val="superscript"/>
          <w:lang w:val="is-IS"/>
        </w:rPr>
        <w:t>11)</w:t>
      </w:r>
      <w:r w:rsidRPr="006D6EDB">
        <w:rPr>
          <w:rStyle w:val="apple-converted-space"/>
          <w:rFonts w:cstheme="minorHAnsi"/>
          <w:color w:val="000000"/>
          <w:sz w:val="23"/>
          <w:szCs w:val="23"/>
          <w:lang w:val="is-IS"/>
        </w:rPr>
        <w:t> </w:t>
      </w:r>
      <w:r w:rsidRPr="006D6EDB">
        <w:rPr>
          <w:rFonts w:cstheme="minorHAnsi"/>
          <w:color w:val="000000"/>
          <w:sz w:val="23"/>
          <w:szCs w:val="23"/>
          <w:lang w:val="is-IS"/>
        </w:rPr>
        <w:t>innan sama rekstrarfélags.]</w:t>
      </w:r>
      <w:r w:rsidRPr="006D6EDB">
        <w:rPr>
          <w:rFonts w:cstheme="minorHAnsi"/>
          <w:color w:val="000000"/>
          <w:sz w:val="23"/>
          <w:szCs w:val="23"/>
          <w:vertAlign w:val="superscript"/>
          <w:lang w:val="is-IS"/>
        </w:rPr>
        <w:t>1)</w:t>
      </w:r>
      <w:r w:rsidRPr="006D6EDB">
        <w:rPr>
          <w:rStyle w:val="apple-converted-space"/>
          <w:rFonts w:cstheme="minorHAnsi"/>
          <w:color w:val="000000"/>
          <w:sz w:val="23"/>
          <w:szCs w:val="23"/>
          <w:lang w:val="is-IS"/>
        </w:rPr>
        <w:t> </w:t>
      </w:r>
      <w:r w:rsidRPr="006D6EDB">
        <w:rPr>
          <w:rFonts w:cstheme="minorHAnsi"/>
          <w:color w:val="000000"/>
          <w:sz w:val="23"/>
          <w:szCs w:val="23"/>
          <w:lang w:val="is-IS"/>
        </w:rPr>
        <w:t>Þó er lífeyrissjóði heimilt að eiga stærri hluta en 15% í fyrirtæki sem eingöngu sinnir þjónustuverkefnum fyrir lífeyrissjóðina sjálfa. Lífeyrissjóði er óheimilt að binda meira en 25% af hreinni eign í innlánum sama banka eða sparisjóðs.]</w:t>
      </w:r>
      <w:r w:rsidRPr="006D6EDB">
        <w:rPr>
          <w:rFonts w:cstheme="minorHAnsi"/>
          <w:color w:val="000000"/>
          <w:sz w:val="23"/>
          <w:szCs w:val="23"/>
          <w:vertAlign w:val="superscript"/>
          <w:lang w:val="is-IS"/>
        </w:rPr>
        <w:t>4)</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4C8649B1" wp14:editId="56C5E4D7">
            <wp:extent cx="102235" cy="102235"/>
            <wp:effectExtent l="0" t="0" r="0" b="0"/>
            <wp:docPr id="21" name="Picture 21"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21" w:name="G36M6"/>
      <w:bookmarkEnd w:id="20"/>
      <w:r w:rsidRPr="006D6EDB">
        <w:rPr>
          <w:rStyle w:val="apple-converted-space"/>
          <w:rFonts w:cstheme="minorHAnsi"/>
          <w:color w:val="000000"/>
          <w:sz w:val="23"/>
          <w:szCs w:val="23"/>
          <w:lang w:val="is-IS"/>
        </w:rPr>
        <w:t> </w:t>
      </w:r>
      <w:r w:rsidRPr="006D6EDB">
        <w:rPr>
          <w:rFonts w:cstheme="minorHAnsi"/>
          <w:color w:val="000000"/>
          <w:sz w:val="23"/>
          <w:szCs w:val="23"/>
          <w:lang w:val="is-IS"/>
        </w:rPr>
        <w:t>Lífeyrissjóður skal takmarka áhættu í erlendum gjaldmiðlum í heild við [50%]</w:t>
      </w:r>
      <w:r w:rsidRPr="006D6EDB">
        <w:rPr>
          <w:rFonts w:cstheme="minorHAnsi"/>
          <w:color w:val="000000"/>
          <w:sz w:val="23"/>
          <w:szCs w:val="23"/>
          <w:vertAlign w:val="superscript"/>
          <w:lang w:val="is-IS"/>
        </w:rPr>
        <w:t>3)</w:t>
      </w:r>
      <w:r w:rsidRPr="006D6EDB">
        <w:rPr>
          <w:rStyle w:val="apple-converted-space"/>
          <w:rFonts w:cstheme="minorHAnsi"/>
          <w:color w:val="000000"/>
          <w:sz w:val="23"/>
          <w:szCs w:val="23"/>
          <w:lang w:val="is-IS"/>
        </w:rPr>
        <w:t> </w:t>
      </w:r>
      <w:r w:rsidRPr="006D6EDB">
        <w:rPr>
          <w:rFonts w:cstheme="minorHAnsi"/>
          <w:color w:val="000000"/>
          <w:sz w:val="23"/>
          <w:szCs w:val="23"/>
          <w:lang w:val="is-IS"/>
        </w:rPr>
        <w:t>af hreinni eign sjóðsins.</w:t>
      </w:r>
      <w:r w:rsidRPr="006D6EDB">
        <w:rPr>
          <w:rFonts w:cstheme="minorHAnsi"/>
          <w:color w:val="000000"/>
          <w:sz w:val="23"/>
          <w:szCs w:val="23"/>
          <w:lang w:val="is-IS"/>
        </w:rPr>
        <w:br/>
      </w:r>
      <w:r w:rsidRPr="006D6EDB">
        <w:rPr>
          <w:rFonts w:cstheme="minorHAnsi"/>
          <w:noProof/>
          <w:color w:val="000000"/>
          <w:sz w:val="23"/>
          <w:szCs w:val="23"/>
          <w:lang w:val="is-IS"/>
        </w:rPr>
        <w:lastRenderedPageBreak/>
        <w:drawing>
          <wp:inline distT="0" distB="0" distL="0" distR="0" wp14:anchorId="00E8E845" wp14:editId="02236295">
            <wp:extent cx="102235" cy="102235"/>
            <wp:effectExtent l="0" t="0" r="0" b="0"/>
            <wp:docPr id="20" name="Picture 20"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22" w:name="G36M7"/>
      <w:bookmarkEnd w:id="21"/>
      <w:r w:rsidRPr="006D6EDB">
        <w:rPr>
          <w:rStyle w:val="apple-converted-space"/>
          <w:rFonts w:cstheme="minorHAnsi"/>
          <w:color w:val="000000"/>
          <w:sz w:val="23"/>
          <w:szCs w:val="23"/>
          <w:lang w:val="is-IS"/>
        </w:rPr>
        <w:t> </w:t>
      </w:r>
      <w:r w:rsidRPr="006D6EDB">
        <w:rPr>
          <w:rFonts w:cstheme="minorHAnsi"/>
          <w:color w:val="000000"/>
          <w:sz w:val="23"/>
          <w:szCs w:val="23"/>
          <w:lang w:val="is-IS"/>
        </w:rPr>
        <w:t>[Með hreinni eign í 3.–6. mgr. er átt við hreina eign lífeyrissjóðs til greiðslu lífeyris samkvæmt síðasta uppgjöri sem hefur verið kannað eða endurskoðað af endurskoðanda.]</w:t>
      </w:r>
      <w:r w:rsidRPr="006D6EDB">
        <w:rPr>
          <w:rFonts w:cstheme="minorHAnsi"/>
          <w:color w:val="000000"/>
          <w:sz w:val="23"/>
          <w:szCs w:val="23"/>
          <w:vertAlign w:val="superscript"/>
          <w:lang w:val="is-IS"/>
        </w:rPr>
        <w:t>2)</w:t>
      </w:r>
      <w:r w:rsidRPr="006D6EDB">
        <w:rPr>
          <w:rStyle w:val="apple-converted-space"/>
          <w:rFonts w:cstheme="minorHAnsi"/>
          <w:color w:val="000000"/>
          <w:sz w:val="23"/>
          <w:szCs w:val="23"/>
          <w:lang w:val="is-IS"/>
        </w:rPr>
        <w:t> </w:t>
      </w:r>
      <w:r w:rsidRPr="006D6EDB">
        <w:rPr>
          <w:rFonts w:cstheme="minorHAnsi"/>
          <w:color w:val="000000"/>
          <w:sz w:val="23"/>
          <w:szCs w:val="23"/>
          <w:lang w:val="is-IS"/>
        </w:rPr>
        <w:t>Takmarkanir í 3.–6. mgr. skulu halda á hverjum tíma.</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2289947F" wp14:editId="13128B1D">
            <wp:extent cx="102235" cy="102235"/>
            <wp:effectExtent l="0" t="0" r="0" b="0"/>
            <wp:docPr id="19" name="Picture 19"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23" w:name="G36M8"/>
      <w:bookmarkEnd w:id="22"/>
      <w:r w:rsidRPr="006D6EDB">
        <w:rPr>
          <w:rStyle w:val="apple-converted-space"/>
          <w:rFonts w:cstheme="minorHAnsi"/>
          <w:color w:val="000000"/>
          <w:sz w:val="23"/>
          <w:szCs w:val="23"/>
          <w:lang w:val="is-IS"/>
        </w:rPr>
        <w:t> </w:t>
      </w:r>
      <w:r w:rsidRPr="006D6EDB">
        <w:rPr>
          <w:rFonts w:cstheme="minorHAnsi"/>
          <w:color w:val="000000"/>
          <w:sz w:val="23"/>
          <w:szCs w:val="23"/>
          <w:lang w:val="is-IS"/>
        </w:rPr>
        <w:t>[Þrátt fyrir ákvæði 3. mgr. er þeim lífeyrissjóðum sem keyptu óskráð bréf tengd húsnæðislánum Byggingarsjóðs ríkisins og Byggingarsjóðs verkamanna á árunum 1972 til 1994 heimilt að flokka þau sem skráð bréf skv. 1. tölul. 1. mgr.]</w:t>
      </w:r>
      <w:r w:rsidRPr="006D6EDB">
        <w:rPr>
          <w:rFonts w:cstheme="minorHAnsi"/>
          <w:color w:val="000000"/>
          <w:sz w:val="23"/>
          <w:szCs w:val="23"/>
          <w:vertAlign w:val="superscript"/>
          <w:lang w:val="is-IS"/>
        </w:rPr>
        <w:t>3)</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496FA0DA" wp14:editId="5A7AAE10">
            <wp:extent cx="102235" cy="102235"/>
            <wp:effectExtent l="0" t="0" r="0" b="0"/>
            <wp:docPr id="18" name="Picture 18"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24" w:name="G36M9"/>
      <w:bookmarkEnd w:id="23"/>
      <w:r w:rsidRPr="006D6EDB">
        <w:rPr>
          <w:rStyle w:val="apple-converted-space"/>
          <w:rFonts w:cstheme="minorHAnsi"/>
          <w:color w:val="000000"/>
          <w:sz w:val="23"/>
          <w:szCs w:val="23"/>
          <w:lang w:val="is-IS"/>
        </w:rPr>
        <w:t> </w:t>
      </w:r>
      <w:r w:rsidRPr="006D6EDB">
        <w:rPr>
          <w:rFonts w:cstheme="minorHAnsi"/>
          <w:color w:val="000000"/>
          <w:sz w:val="23"/>
          <w:szCs w:val="23"/>
          <w:lang w:val="is-IS"/>
        </w:rPr>
        <w:t>[Lífeyrissjóðum er ekki heimilt að fjárfesta eða eiga í fjárfestingarsjóðum skv. 7. tölul. 1. mgr. sem fjármagna sig með lántöku eða skortsölu.]</w:t>
      </w:r>
      <w:r w:rsidRPr="006D6EDB">
        <w:rPr>
          <w:rFonts w:cstheme="minorHAnsi"/>
          <w:color w:val="000000"/>
          <w:sz w:val="23"/>
          <w:szCs w:val="23"/>
          <w:vertAlign w:val="superscript"/>
          <w:lang w:val="is-IS"/>
        </w:rPr>
        <w:t>4)</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2F747C65" wp14:editId="22D50DB4">
            <wp:extent cx="102235" cy="102235"/>
            <wp:effectExtent l="0" t="0" r="0" b="0"/>
            <wp:docPr id="17" name="Picture 17"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25" w:name="G36M10"/>
      <w:bookmarkEnd w:id="24"/>
      <w:r w:rsidRPr="006D6EDB">
        <w:rPr>
          <w:rStyle w:val="apple-converted-space"/>
          <w:rFonts w:cstheme="minorHAnsi"/>
          <w:color w:val="000000"/>
          <w:sz w:val="23"/>
          <w:szCs w:val="23"/>
          <w:lang w:val="is-IS"/>
        </w:rPr>
        <w:t> </w:t>
      </w:r>
      <w:r w:rsidRPr="006D6EDB">
        <w:rPr>
          <w:rFonts w:cstheme="minorHAnsi"/>
          <w:color w:val="000000"/>
          <w:sz w:val="23"/>
          <w:szCs w:val="23"/>
          <w:lang w:val="is-IS"/>
        </w:rPr>
        <w:t>[Ákvæði þessarar greinar eiga einungis við um samtryggingardeildir lífeyrissjóða [frá og með 1. janúar 2010].</w:t>
      </w:r>
      <w:r w:rsidRPr="006D6EDB">
        <w:rPr>
          <w:rFonts w:cstheme="minorHAnsi"/>
          <w:color w:val="000000"/>
          <w:sz w:val="23"/>
          <w:szCs w:val="23"/>
          <w:vertAlign w:val="superscript"/>
          <w:lang w:val="is-IS"/>
        </w:rPr>
        <w:t>11)</w:t>
      </w:r>
      <w:r w:rsidRPr="006D6EDB">
        <w:rPr>
          <w:rFonts w:cstheme="minorHAnsi"/>
          <w:color w:val="000000"/>
          <w:sz w:val="23"/>
          <w:szCs w:val="23"/>
          <w:lang w:val="is-IS"/>
        </w:rPr>
        <w:t>]</w:t>
      </w:r>
      <w:r w:rsidRPr="006D6EDB">
        <w:rPr>
          <w:rFonts w:cstheme="minorHAnsi"/>
          <w:color w:val="000000"/>
          <w:sz w:val="23"/>
          <w:szCs w:val="23"/>
          <w:vertAlign w:val="superscript"/>
          <w:lang w:val="is-IS"/>
        </w:rPr>
        <w:t>1)</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627B7227" wp14:editId="34D7321D">
            <wp:extent cx="102235" cy="102235"/>
            <wp:effectExtent l="0" t="0" r="0" b="0"/>
            <wp:docPr id="16" name="Picture 16"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26" w:name="G36M11"/>
      <w:bookmarkEnd w:id="25"/>
      <w:r w:rsidRPr="006D6EDB">
        <w:rPr>
          <w:rStyle w:val="apple-converted-space"/>
          <w:rFonts w:cstheme="minorHAnsi"/>
          <w:color w:val="000000"/>
          <w:sz w:val="23"/>
          <w:szCs w:val="23"/>
          <w:lang w:val="is-IS"/>
        </w:rPr>
        <w:t> </w:t>
      </w:r>
      <w:r w:rsidRPr="006D6EDB">
        <w:rPr>
          <w:rFonts w:cstheme="minorHAnsi"/>
          <w:color w:val="000000"/>
          <w:sz w:val="23"/>
          <w:szCs w:val="23"/>
          <w:lang w:val="is-IS"/>
        </w:rPr>
        <w:t>[Lífeyrissjóði er heimilt að stofna félag um rekstur íbúðarhúsnæðis skv. 11. tölul. 1. mgr. eða gera samning við einkaaðila um slíkan rekstur.]</w:t>
      </w:r>
      <w:r w:rsidRPr="006D6EDB">
        <w:rPr>
          <w:rFonts w:cstheme="minorHAnsi"/>
          <w:color w:val="000000"/>
          <w:sz w:val="23"/>
          <w:szCs w:val="23"/>
          <w:vertAlign w:val="superscript"/>
          <w:lang w:val="is-IS"/>
        </w:rPr>
        <w:t>5)</w:t>
      </w:r>
      <w:r w:rsidRPr="006D6EDB">
        <w:rPr>
          <w:rFonts w:cstheme="minorHAnsi"/>
          <w:color w:val="000000"/>
          <w:sz w:val="23"/>
          <w:szCs w:val="23"/>
          <w:lang w:val="is-IS"/>
        </w:rPr>
        <w:br/>
        <w:t>   </w:t>
      </w:r>
      <w:r w:rsidRPr="006D6EDB">
        <w:rPr>
          <w:rFonts w:cstheme="minorHAnsi"/>
          <w:i/>
          <w:iCs/>
          <w:color w:val="000000"/>
          <w:sz w:val="23"/>
          <w:szCs w:val="23"/>
          <w:vertAlign w:val="superscript"/>
          <w:lang w:val="is-IS"/>
        </w:rPr>
        <w:t>1)</w:t>
      </w:r>
      <w:bookmarkEnd w:id="26"/>
      <w:r w:rsidRPr="006D6EDB">
        <w:rPr>
          <w:rFonts w:cstheme="minorHAnsi"/>
          <w:i/>
          <w:iCs/>
          <w:color w:val="000000"/>
          <w:sz w:val="23"/>
          <w:szCs w:val="23"/>
          <w:lang w:val="is-IS"/>
        </w:rPr>
        <w:fldChar w:fldCharType="begin"/>
      </w:r>
      <w:r w:rsidRPr="006D6EDB">
        <w:rPr>
          <w:rFonts w:cstheme="minorHAnsi"/>
          <w:i/>
          <w:iCs/>
          <w:color w:val="000000"/>
          <w:sz w:val="23"/>
          <w:szCs w:val="23"/>
          <w:lang w:val="is-IS"/>
        </w:rPr>
        <w:instrText xml:space="preserve"> HYPERLINK "http://www.althingi.is/altext/stjt/2008.171.html" </w:instrText>
      </w:r>
      <w:r w:rsidRPr="006D6EDB">
        <w:rPr>
          <w:rFonts w:cstheme="minorHAnsi"/>
          <w:i/>
          <w:iCs/>
          <w:color w:val="000000"/>
          <w:sz w:val="23"/>
          <w:szCs w:val="23"/>
          <w:lang w:val="is-IS"/>
        </w:rPr>
        <w:fldChar w:fldCharType="separate"/>
      </w:r>
      <w:r w:rsidRPr="006D6EDB">
        <w:rPr>
          <w:rStyle w:val="Hyperlink"/>
          <w:rFonts w:cstheme="minorHAnsi"/>
          <w:i/>
          <w:iCs/>
          <w:sz w:val="23"/>
          <w:szCs w:val="23"/>
          <w:lang w:val="is-IS"/>
        </w:rPr>
        <w:t>L. 171/2008, 10. gr.</w:t>
      </w:r>
      <w:r w:rsidRPr="006D6EDB">
        <w:rPr>
          <w:rFonts w:cstheme="minorHAnsi"/>
          <w:i/>
          <w:iCs/>
          <w:color w:val="000000"/>
          <w:sz w:val="23"/>
          <w:szCs w:val="23"/>
          <w:lang w:val="is-IS"/>
        </w:rPr>
        <w:fldChar w:fldCharType="end"/>
      </w:r>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2)</w:t>
      </w:r>
      <w:hyperlink r:id="rId11" w:history="1">
        <w:r w:rsidRPr="006D6EDB">
          <w:rPr>
            <w:rStyle w:val="Hyperlink"/>
            <w:rFonts w:cstheme="minorHAnsi"/>
            <w:i/>
            <w:iCs/>
            <w:sz w:val="23"/>
            <w:szCs w:val="23"/>
            <w:lang w:val="is-IS"/>
          </w:rPr>
          <w:t>L. 28/2006, 2.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3)</w:t>
      </w:r>
      <w:hyperlink r:id="rId12" w:history="1">
        <w:r w:rsidRPr="006D6EDB">
          <w:rPr>
            <w:rStyle w:val="Hyperlink"/>
            <w:rFonts w:cstheme="minorHAnsi"/>
            <w:i/>
            <w:iCs/>
            <w:sz w:val="23"/>
            <w:szCs w:val="23"/>
            <w:lang w:val="is-IS"/>
          </w:rPr>
          <w:t>L. 56/2000, 7.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4)</w:t>
      </w:r>
      <w:hyperlink r:id="rId13" w:history="1">
        <w:r w:rsidRPr="006D6EDB">
          <w:rPr>
            <w:rStyle w:val="Hyperlink"/>
            <w:rFonts w:cstheme="minorHAnsi"/>
            <w:i/>
            <w:iCs/>
            <w:sz w:val="23"/>
            <w:szCs w:val="23"/>
            <w:lang w:val="is-IS"/>
          </w:rPr>
          <w:t>L. 70/2004, 4.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5)</w:t>
      </w:r>
      <w:hyperlink r:id="rId14" w:history="1">
        <w:r w:rsidRPr="006D6EDB">
          <w:rPr>
            <w:rStyle w:val="Hyperlink"/>
            <w:rFonts w:cstheme="minorHAnsi"/>
            <w:i/>
            <w:iCs/>
            <w:sz w:val="23"/>
            <w:szCs w:val="23"/>
            <w:lang w:val="is-IS"/>
          </w:rPr>
          <w:t>L. 123/2011, 1.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6)</w:t>
      </w:r>
      <w:hyperlink r:id="rId15" w:history="1">
        <w:r w:rsidRPr="006D6EDB">
          <w:rPr>
            <w:rStyle w:val="Hyperlink"/>
            <w:rFonts w:cstheme="minorHAnsi"/>
            <w:i/>
            <w:iCs/>
            <w:sz w:val="23"/>
            <w:szCs w:val="23"/>
            <w:lang w:val="is-IS"/>
          </w:rPr>
          <w:t>L. 148/2004, 1.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7)</w:t>
      </w:r>
      <w:hyperlink r:id="rId16" w:history="1">
        <w:r w:rsidRPr="006D6EDB">
          <w:rPr>
            <w:rStyle w:val="Hyperlink"/>
            <w:rFonts w:cstheme="minorHAnsi"/>
            <w:i/>
            <w:iCs/>
            <w:sz w:val="23"/>
            <w:szCs w:val="23"/>
            <w:lang w:val="is-IS"/>
          </w:rPr>
          <w:t>L. 65/2002, 5.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8)</w:t>
      </w:r>
      <w:hyperlink r:id="rId17" w:history="1">
        <w:r w:rsidRPr="006D6EDB">
          <w:rPr>
            <w:rStyle w:val="Hyperlink"/>
            <w:rFonts w:cstheme="minorHAnsi"/>
            <w:i/>
            <w:iCs/>
            <w:sz w:val="23"/>
            <w:szCs w:val="23"/>
            <w:lang w:val="is-IS"/>
          </w:rPr>
          <w:t>L. 84/1998, 7.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9)</w:t>
      </w:r>
      <w:hyperlink r:id="rId18" w:history="1">
        <w:r w:rsidRPr="006D6EDB">
          <w:rPr>
            <w:rStyle w:val="Hyperlink"/>
            <w:rFonts w:cstheme="minorHAnsi"/>
            <w:i/>
            <w:iCs/>
            <w:sz w:val="23"/>
            <w:szCs w:val="23"/>
            <w:lang w:val="is-IS"/>
          </w:rPr>
          <w:t>L. 122/2011, 3.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10)</w:t>
      </w:r>
      <w:hyperlink r:id="rId19" w:history="1">
        <w:r w:rsidRPr="006D6EDB">
          <w:rPr>
            <w:rStyle w:val="Hyperlink"/>
            <w:rFonts w:cstheme="minorHAnsi"/>
            <w:i/>
            <w:iCs/>
            <w:sz w:val="23"/>
            <w:szCs w:val="23"/>
            <w:lang w:val="is-IS"/>
          </w:rPr>
          <w:t>L. 140/2006, 1. gr.</w:t>
        </w:r>
      </w:hyperlink>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11)</w:t>
      </w:r>
      <w:hyperlink r:id="rId20" w:history="1">
        <w:r w:rsidRPr="006D6EDB">
          <w:rPr>
            <w:rStyle w:val="Hyperlink"/>
            <w:rFonts w:cstheme="minorHAnsi"/>
            <w:i/>
            <w:iCs/>
            <w:sz w:val="23"/>
            <w:szCs w:val="23"/>
            <w:lang w:val="is-IS"/>
          </w:rPr>
          <w:t>L. 13/2009, 1. gr.</w:t>
        </w:r>
      </w:hyperlink>
      <w:r w:rsidRPr="006D6EDB">
        <w:rPr>
          <w:rStyle w:val="apple-converted-space"/>
          <w:rFonts w:cstheme="minorHAnsi"/>
          <w:i/>
          <w:iCs/>
          <w:color w:val="000000"/>
          <w:sz w:val="23"/>
          <w:szCs w:val="23"/>
          <w:lang w:val="is-IS"/>
        </w:rPr>
        <w:t> </w:t>
      </w:r>
      <w:r w:rsidRPr="006D6EDB">
        <w:rPr>
          <w:rFonts w:cstheme="minorHAnsi"/>
          <w:color w:val="000000"/>
          <w:sz w:val="23"/>
          <w:szCs w:val="23"/>
          <w:lang w:val="is-IS"/>
        </w:rPr>
        <w:br/>
      </w:r>
      <w:bookmarkStart w:id="27" w:name="G36A"/>
      <w:r w:rsidRPr="006D6EDB">
        <w:rPr>
          <w:rFonts w:cstheme="minorHAnsi"/>
          <w:noProof/>
          <w:color w:val="000000"/>
          <w:sz w:val="23"/>
          <w:szCs w:val="23"/>
          <w:lang w:val="is-IS"/>
        </w:rPr>
        <w:drawing>
          <wp:inline distT="0" distB="0" distL="0" distR="0" wp14:anchorId="3EAA443F" wp14:editId="25090A31">
            <wp:extent cx="102235" cy="102235"/>
            <wp:effectExtent l="0" t="0" r="0" b="0"/>
            <wp:docPr id="15" name="Picture 15" descr="http://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6D6EDB">
        <w:rPr>
          <w:rStyle w:val="apple-converted-space"/>
          <w:rFonts w:cstheme="minorHAnsi"/>
          <w:color w:val="000000"/>
          <w:sz w:val="23"/>
          <w:szCs w:val="23"/>
          <w:lang w:val="is-IS"/>
        </w:rPr>
        <w:t> </w:t>
      </w:r>
      <w:r w:rsidRPr="006D6EDB">
        <w:rPr>
          <w:rFonts w:cstheme="minorHAnsi"/>
          <w:b/>
          <w:bCs/>
          <w:color w:val="000000"/>
          <w:sz w:val="23"/>
          <w:szCs w:val="23"/>
          <w:lang w:val="is-IS"/>
        </w:rPr>
        <w:t>[36. gr. a.</w:t>
      </w:r>
      <w:bookmarkStart w:id="28" w:name="G36AM1"/>
      <w:bookmarkEnd w:id="27"/>
      <w:r w:rsidRPr="006D6EDB">
        <w:rPr>
          <w:rStyle w:val="apple-converted-space"/>
          <w:rFonts w:cstheme="minorHAnsi"/>
          <w:color w:val="000000"/>
          <w:sz w:val="23"/>
          <w:szCs w:val="23"/>
          <w:lang w:val="is-IS"/>
        </w:rPr>
        <w:t> </w:t>
      </w:r>
      <w:r w:rsidRPr="006D6EDB">
        <w:rPr>
          <w:rFonts w:cstheme="minorHAnsi"/>
          <w:color w:val="000000"/>
          <w:sz w:val="23"/>
          <w:szCs w:val="23"/>
          <w:lang w:val="is-IS"/>
        </w:rPr>
        <w:t>Vörsluaðilar séreignarsparnaðar, skv. II. kafla, skulu móta fjárfestingarstefnu fyrir hverja fjárfestingarleið þar sem fjárfestingar, aðrar en innlánsreikningar, eru sundurliðaðar með hliðsjón af 1. mgr. 36. gr. Fjárfestingarstefna vörsluaðila séreignarsparnaðar skal að öðru leyti háð eftirfarandi takmörkunum:</w:t>
      </w:r>
      <w:r w:rsidRPr="006D6EDB">
        <w:rPr>
          <w:rStyle w:val="apple-converted-space"/>
          <w:rFonts w:cstheme="minorHAnsi"/>
          <w:color w:val="000000"/>
          <w:sz w:val="23"/>
          <w:szCs w:val="23"/>
          <w:lang w:val="is-IS"/>
        </w:rPr>
        <w:t> </w:t>
      </w:r>
      <w:r w:rsidRPr="006D6EDB">
        <w:rPr>
          <w:rFonts w:cstheme="minorHAnsi"/>
          <w:color w:val="000000"/>
          <w:sz w:val="23"/>
          <w:szCs w:val="23"/>
          <w:lang w:val="is-IS"/>
        </w:rPr>
        <w:br/>
        <w:t>   </w:t>
      </w:r>
      <w:bookmarkStart w:id="29" w:name="G36AM1L1"/>
      <w:bookmarkEnd w:id="28"/>
      <w:r w:rsidRPr="006D6EDB">
        <w:rPr>
          <w:rFonts w:cstheme="minorHAnsi"/>
          <w:color w:val="000000"/>
          <w:sz w:val="23"/>
          <w:szCs w:val="23"/>
          <w:lang w:val="is-IS"/>
        </w:rPr>
        <w:t>a. Ekki er heimilt að fjárfesta fyrir meira en 20% af hreinni eign hverrar fjárfestingarleiðar í verðbréfum sem ekki eru skráð á skipulegum markaði.</w:t>
      </w:r>
      <w:r w:rsidRPr="006D6EDB">
        <w:rPr>
          <w:rFonts w:cstheme="minorHAnsi"/>
          <w:color w:val="000000"/>
          <w:sz w:val="23"/>
          <w:szCs w:val="23"/>
          <w:lang w:val="is-IS"/>
        </w:rPr>
        <w:br/>
        <w:t>   </w:t>
      </w:r>
      <w:bookmarkStart w:id="30" w:name="G36AM1L2"/>
      <w:bookmarkEnd w:id="29"/>
      <w:r w:rsidRPr="006D6EDB">
        <w:rPr>
          <w:rFonts w:cstheme="minorHAnsi"/>
          <w:color w:val="000000"/>
          <w:sz w:val="23"/>
          <w:szCs w:val="23"/>
          <w:lang w:val="is-IS"/>
        </w:rPr>
        <w:t>b. Samanlögð eign hverrar fjárfestingarleiðar í fjármálagerningum útgefnum af sama aðila, tengdum aðilum, sbr. lög um fjármálafyrirtæki, eða aðilum sem tilheyra sömu samstæðunni skal ekki vera meira en 20% af hreinni eign sjóðsins. Verðbréf skv. 1. tölul. 1. mgr. 36. gr. falla ekki undir ákvæði þetta.</w:t>
      </w:r>
      <w:r w:rsidRPr="006D6EDB">
        <w:rPr>
          <w:rFonts w:cstheme="minorHAnsi"/>
          <w:color w:val="000000"/>
          <w:sz w:val="23"/>
          <w:szCs w:val="23"/>
          <w:lang w:val="is-IS"/>
        </w:rPr>
        <w:br/>
        <w:t>   </w:t>
      </w:r>
      <w:bookmarkStart w:id="31" w:name="G36AM1L3"/>
      <w:bookmarkEnd w:id="30"/>
      <w:r w:rsidRPr="006D6EDB">
        <w:rPr>
          <w:rFonts w:cstheme="minorHAnsi"/>
          <w:color w:val="000000"/>
          <w:sz w:val="23"/>
          <w:szCs w:val="23"/>
          <w:lang w:val="is-IS"/>
        </w:rPr>
        <w:t>c. Samanlögð eign hverrar fjárfestingarleiðar má ekki vera meira en 30% af hlutdeildarskírteinum eða hlutum útgefnum af sama verðbréfasjóði eða fjárfestingarsjóði eða einstakri deild hans eða í verðbréfasjóðum [og fjárfestingarsjóðum sem hlutfall af hreinni eign]</w:t>
      </w:r>
      <w:r w:rsidRPr="006D6EDB">
        <w:rPr>
          <w:rFonts w:cstheme="minorHAnsi"/>
          <w:color w:val="000000"/>
          <w:sz w:val="23"/>
          <w:szCs w:val="23"/>
          <w:vertAlign w:val="superscript"/>
          <w:lang w:val="is-IS"/>
        </w:rPr>
        <w:t>1)</w:t>
      </w:r>
      <w:r w:rsidRPr="006D6EDB">
        <w:rPr>
          <w:rStyle w:val="apple-converted-space"/>
          <w:rFonts w:cstheme="minorHAnsi"/>
          <w:color w:val="000000"/>
          <w:sz w:val="23"/>
          <w:szCs w:val="23"/>
          <w:lang w:val="is-IS"/>
        </w:rPr>
        <w:t> </w:t>
      </w:r>
      <w:r w:rsidRPr="006D6EDB">
        <w:rPr>
          <w:rFonts w:cstheme="minorHAnsi"/>
          <w:color w:val="000000"/>
          <w:sz w:val="23"/>
          <w:szCs w:val="23"/>
          <w:lang w:val="is-IS"/>
        </w:rPr>
        <w:t>innan sama rekstrarfélags.</w:t>
      </w:r>
      <w:r w:rsidRPr="006D6EDB">
        <w:rPr>
          <w:rFonts w:cstheme="minorHAnsi"/>
          <w:color w:val="000000"/>
          <w:sz w:val="23"/>
          <w:szCs w:val="23"/>
          <w:lang w:val="is-IS"/>
        </w:rPr>
        <w:br/>
        <w:t>   </w:t>
      </w:r>
      <w:bookmarkStart w:id="32" w:name="G36AM1L4"/>
      <w:bookmarkEnd w:id="31"/>
      <w:r w:rsidRPr="006D6EDB">
        <w:rPr>
          <w:rFonts w:cstheme="minorHAnsi"/>
          <w:color w:val="000000"/>
          <w:sz w:val="23"/>
          <w:szCs w:val="23"/>
          <w:lang w:val="is-IS"/>
        </w:rPr>
        <w:t>d. Vörsluaðilum séreignarsparnaðar er ekki heimilt að fjárfesta eða eiga í fjárfestingarsjóðum skv. 7. tölul. 1. mgr. 36. gr. sem fjármagna sig með lántöku eða skortsölu.</w:t>
      </w:r>
      <w:r w:rsidRPr="006D6EDB">
        <w:rPr>
          <w:rFonts w:cstheme="minorHAnsi"/>
          <w:color w:val="000000"/>
          <w:sz w:val="23"/>
          <w:szCs w:val="23"/>
          <w:lang w:val="is-IS"/>
        </w:rPr>
        <w:br/>
        <w:t>   </w:t>
      </w:r>
      <w:bookmarkStart w:id="33" w:name="G36AM1L5"/>
      <w:bookmarkEnd w:id="32"/>
      <w:r w:rsidRPr="006D6EDB">
        <w:rPr>
          <w:rFonts w:cstheme="minorHAnsi"/>
          <w:color w:val="000000"/>
          <w:sz w:val="23"/>
          <w:szCs w:val="23"/>
          <w:lang w:val="is-IS"/>
        </w:rPr>
        <w:t>e. Hlutabréf fyrirtækja mega ekki vera meira en 70% af samanlagðri eign hverrar fjárfestingarleiðar.</w:t>
      </w:r>
      <w:r w:rsidRPr="006D6EDB">
        <w:rPr>
          <w:rFonts w:cstheme="minorHAnsi"/>
          <w:color w:val="000000"/>
          <w:sz w:val="23"/>
          <w:szCs w:val="23"/>
          <w:lang w:val="is-IS"/>
        </w:rPr>
        <w:br/>
        <w:t>   </w:t>
      </w:r>
      <w:bookmarkStart w:id="34" w:name="G36AM1L6"/>
      <w:bookmarkEnd w:id="33"/>
      <w:r w:rsidRPr="006D6EDB">
        <w:rPr>
          <w:rFonts w:cstheme="minorHAnsi"/>
          <w:color w:val="000000"/>
          <w:sz w:val="23"/>
          <w:szCs w:val="23"/>
          <w:lang w:val="is-IS"/>
        </w:rPr>
        <w:t>f. Afleiðusamningar mega ekki vera meira en 10% af hreinni eign hverrar fjárfestingarleiðar.</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66D8C374" wp14:editId="24CF2830">
            <wp:extent cx="102235" cy="102235"/>
            <wp:effectExtent l="0" t="0" r="0" b="0"/>
            <wp:docPr id="14" name="Picture 14"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35" w:name="G36AM2"/>
      <w:bookmarkEnd w:id="34"/>
      <w:r w:rsidRPr="006D6EDB">
        <w:rPr>
          <w:rStyle w:val="apple-converted-space"/>
          <w:rFonts w:cstheme="minorHAnsi"/>
          <w:color w:val="000000"/>
          <w:sz w:val="23"/>
          <w:szCs w:val="23"/>
          <w:lang w:val="is-IS"/>
        </w:rPr>
        <w:t> </w:t>
      </w:r>
      <w:r w:rsidRPr="006D6EDB">
        <w:rPr>
          <w:rFonts w:cstheme="minorHAnsi"/>
          <w:color w:val="000000"/>
          <w:sz w:val="23"/>
          <w:szCs w:val="23"/>
          <w:lang w:val="is-IS"/>
        </w:rPr>
        <w:t>Vörsluaðilar séreignarsparnaðar skulu senda upplýsingar um fjárfestingarstefnu sína fyrir komandi ár til Fjármálaeftirlitsins eigi síðar en 1. desember ár hvert.]</w:t>
      </w:r>
      <w:r w:rsidRPr="006D6EDB">
        <w:rPr>
          <w:rFonts w:cstheme="minorHAnsi"/>
          <w:color w:val="000000"/>
          <w:sz w:val="23"/>
          <w:szCs w:val="23"/>
          <w:vertAlign w:val="superscript"/>
          <w:lang w:val="is-IS"/>
        </w:rPr>
        <w:t>2)</w:t>
      </w:r>
      <w:r w:rsidRPr="006D6EDB">
        <w:rPr>
          <w:rFonts w:cstheme="minorHAnsi"/>
          <w:color w:val="000000"/>
          <w:sz w:val="23"/>
          <w:szCs w:val="23"/>
          <w:lang w:val="is-IS"/>
        </w:rPr>
        <w:br/>
        <w:t>   </w:t>
      </w:r>
      <w:r w:rsidRPr="006D6EDB">
        <w:rPr>
          <w:rFonts w:cstheme="minorHAnsi"/>
          <w:i/>
          <w:iCs/>
          <w:color w:val="000000"/>
          <w:sz w:val="23"/>
          <w:szCs w:val="23"/>
          <w:vertAlign w:val="superscript"/>
          <w:lang w:val="is-IS"/>
        </w:rPr>
        <w:t>1)</w:t>
      </w:r>
      <w:bookmarkEnd w:id="35"/>
      <w:r w:rsidRPr="006D6EDB">
        <w:rPr>
          <w:rFonts w:cstheme="minorHAnsi"/>
          <w:i/>
          <w:iCs/>
          <w:color w:val="000000"/>
          <w:sz w:val="23"/>
          <w:szCs w:val="23"/>
          <w:lang w:val="is-IS"/>
        </w:rPr>
        <w:fldChar w:fldCharType="begin"/>
      </w:r>
      <w:r w:rsidRPr="006D6EDB">
        <w:rPr>
          <w:rFonts w:cstheme="minorHAnsi"/>
          <w:i/>
          <w:iCs/>
          <w:color w:val="000000"/>
          <w:sz w:val="23"/>
          <w:szCs w:val="23"/>
          <w:lang w:val="is-IS"/>
        </w:rPr>
        <w:instrText xml:space="preserve"> HYPERLINK "http://www.althingi.is/altext/stjt/2009.013.html" </w:instrText>
      </w:r>
      <w:r w:rsidRPr="006D6EDB">
        <w:rPr>
          <w:rFonts w:cstheme="minorHAnsi"/>
          <w:i/>
          <w:iCs/>
          <w:color w:val="000000"/>
          <w:sz w:val="23"/>
          <w:szCs w:val="23"/>
          <w:lang w:val="is-IS"/>
        </w:rPr>
        <w:fldChar w:fldCharType="separate"/>
      </w:r>
      <w:r w:rsidRPr="006D6EDB">
        <w:rPr>
          <w:rStyle w:val="Hyperlink"/>
          <w:rFonts w:cstheme="minorHAnsi"/>
          <w:i/>
          <w:iCs/>
          <w:sz w:val="23"/>
          <w:szCs w:val="23"/>
          <w:lang w:val="is-IS"/>
        </w:rPr>
        <w:t>L. 13/2009, 2. gr.</w:t>
      </w:r>
      <w:r w:rsidRPr="006D6EDB">
        <w:rPr>
          <w:rFonts w:cstheme="minorHAnsi"/>
          <w:i/>
          <w:iCs/>
          <w:color w:val="000000"/>
          <w:sz w:val="23"/>
          <w:szCs w:val="23"/>
          <w:lang w:val="is-IS"/>
        </w:rPr>
        <w:fldChar w:fldCharType="end"/>
      </w:r>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2)</w:t>
      </w:r>
      <w:hyperlink r:id="rId21" w:history="1">
        <w:r w:rsidRPr="006D6EDB">
          <w:rPr>
            <w:rStyle w:val="Hyperlink"/>
            <w:rFonts w:cstheme="minorHAnsi"/>
            <w:i/>
            <w:iCs/>
            <w:sz w:val="23"/>
            <w:szCs w:val="23"/>
            <w:lang w:val="is-IS"/>
          </w:rPr>
          <w:t>L. 171/2008, 11. gr.</w:t>
        </w:r>
      </w:hyperlink>
      <w:r w:rsidRPr="006D6EDB">
        <w:rPr>
          <w:rStyle w:val="apple-converted-space"/>
          <w:rFonts w:cstheme="minorHAnsi"/>
          <w:i/>
          <w:iCs/>
          <w:color w:val="000000"/>
          <w:sz w:val="23"/>
          <w:szCs w:val="23"/>
          <w:lang w:val="is-IS"/>
        </w:rPr>
        <w:t> </w:t>
      </w:r>
      <w:r w:rsidRPr="006D6EDB">
        <w:rPr>
          <w:rFonts w:cstheme="minorHAnsi"/>
          <w:color w:val="000000"/>
          <w:sz w:val="23"/>
          <w:szCs w:val="23"/>
          <w:lang w:val="is-IS"/>
        </w:rPr>
        <w:br/>
      </w:r>
      <w:bookmarkStart w:id="36" w:name="G37"/>
      <w:r w:rsidRPr="006D6EDB">
        <w:rPr>
          <w:rFonts w:cstheme="minorHAnsi"/>
          <w:noProof/>
          <w:color w:val="000000"/>
          <w:sz w:val="23"/>
          <w:szCs w:val="23"/>
          <w:lang w:val="is-IS"/>
        </w:rPr>
        <w:drawing>
          <wp:inline distT="0" distB="0" distL="0" distR="0" wp14:anchorId="3A457442" wp14:editId="1589D202">
            <wp:extent cx="102235" cy="102235"/>
            <wp:effectExtent l="0" t="0" r="0" b="0"/>
            <wp:docPr id="13" name="Picture 13" descr="http://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6D6EDB">
        <w:rPr>
          <w:rStyle w:val="apple-converted-space"/>
          <w:rFonts w:cstheme="minorHAnsi"/>
          <w:color w:val="000000"/>
          <w:sz w:val="23"/>
          <w:szCs w:val="23"/>
          <w:lang w:val="is-IS"/>
        </w:rPr>
        <w:t> </w:t>
      </w:r>
      <w:r w:rsidRPr="006D6EDB">
        <w:rPr>
          <w:rFonts w:cstheme="minorHAnsi"/>
          <w:b/>
          <w:bCs/>
          <w:color w:val="000000"/>
          <w:sz w:val="23"/>
          <w:szCs w:val="23"/>
          <w:lang w:val="is-IS"/>
        </w:rPr>
        <w:t>37. gr.</w:t>
      </w:r>
      <w:bookmarkStart w:id="37" w:name="G37M1"/>
      <w:bookmarkEnd w:id="36"/>
      <w:r w:rsidRPr="006D6EDB">
        <w:rPr>
          <w:rStyle w:val="apple-converted-space"/>
          <w:rFonts w:cstheme="minorHAnsi"/>
          <w:color w:val="000000"/>
          <w:sz w:val="23"/>
          <w:szCs w:val="23"/>
          <w:lang w:val="is-IS"/>
        </w:rPr>
        <w:t> </w:t>
      </w:r>
      <w:r w:rsidRPr="006D6EDB">
        <w:rPr>
          <w:rFonts w:cstheme="minorHAnsi"/>
          <w:color w:val="000000"/>
          <w:sz w:val="23"/>
          <w:szCs w:val="23"/>
          <w:lang w:val="is-IS"/>
        </w:rPr>
        <w:t>[Fjárfestingarstefna lífeyrissjóðs skal byggð á tegundaflokkun innlána og verðbréfa, [sbr. 1.–10. tölul. 1. mgr. 36. gr.]</w:t>
      </w:r>
      <w:r w:rsidRPr="006D6EDB">
        <w:rPr>
          <w:rFonts w:cstheme="minorHAnsi"/>
          <w:color w:val="000000"/>
          <w:sz w:val="23"/>
          <w:szCs w:val="23"/>
          <w:vertAlign w:val="superscript"/>
          <w:lang w:val="is-IS"/>
        </w:rPr>
        <w:t>1)</w:t>
      </w:r>
      <w:r w:rsidRPr="006D6EDB">
        <w:rPr>
          <w:rStyle w:val="apple-converted-space"/>
          <w:rFonts w:cstheme="minorHAnsi"/>
          <w:color w:val="000000"/>
          <w:sz w:val="23"/>
          <w:szCs w:val="23"/>
          <w:lang w:val="is-IS"/>
        </w:rPr>
        <w:t> </w:t>
      </w:r>
      <w:r w:rsidRPr="006D6EDB">
        <w:rPr>
          <w:rFonts w:cstheme="minorHAnsi"/>
          <w:color w:val="000000"/>
          <w:sz w:val="23"/>
          <w:szCs w:val="23"/>
          <w:lang w:val="is-IS"/>
        </w:rPr>
        <w:t xml:space="preserve">Hver tegund innlána og verðbréfa skal jafnframt sundurliðuð eftir því sem við á með tilliti til gjaldmiðlaáhættu og stærðar einstakra innlánsaðila eða verðbréfaútgefenda. Lífeyrissjóðir skulu senda upplýsingar um fjárfestingarstefnu sína fyrir komandi ár til </w:t>
      </w:r>
      <w:r w:rsidRPr="006D6EDB">
        <w:rPr>
          <w:rFonts w:cstheme="minorHAnsi"/>
          <w:color w:val="000000"/>
          <w:sz w:val="23"/>
          <w:szCs w:val="23"/>
          <w:lang w:val="is-IS"/>
        </w:rPr>
        <w:lastRenderedPageBreak/>
        <w:t>Fjármálaeftirlitsins eigi síðar en 1. desember ár hvert.</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634A5BE2" wp14:editId="36B3E00B">
            <wp:extent cx="102235" cy="102235"/>
            <wp:effectExtent l="0" t="0" r="0" b="0"/>
            <wp:docPr id="12" name="Picture 12"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38" w:name="G37M2"/>
      <w:bookmarkEnd w:id="37"/>
      <w:r w:rsidRPr="006D6EDB">
        <w:rPr>
          <w:rStyle w:val="apple-converted-space"/>
          <w:rFonts w:cstheme="minorHAnsi"/>
          <w:color w:val="000000"/>
          <w:sz w:val="23"/>
          <w:szCs w:val="23"/>
          <w:lang w:val="is-IS"/>
        </w:rPr>
        <w:t> </w:t>
      </w:r>
      <w:r w:rsidRPr="006D6EDB">
        <w:rPr>
          <w:rFonts w:cstheme="minorHAnsi"/>
          <w:color w:val="000000"/>
          <w:sz w:val="23"/>
          <w:szCs w:val="23"/>
          <w:lang w:val="is-IS"/>
        </w:rPr>
        <w:t>Fjármálaeftirlitið skal setja reglur</w:t>
      </w:r>
      <w:r w:rsidRPr="006D6EDB">
        <w:rPr>
          <w:rFonts w:cstheme="minorHAnsi"/>
          <w:color w:val="000000"/>
          <w:sz w:val="23"/>
          <w:szCs w:val="23"/>
          <w:vertAlign w:val="superscript"/>
          <w:lang w:val="is-IS"/>
        </w:rPr>
        <w:t>2)</w:t>
      </w:r>
      <w:r w:rsidRPr="006D6EDB">
        <w:rPr>
          <w:rStyle w:val="apple-converted-space"/>
          <w:rFonts w:cstheme="minorHAnsi"/>
          <w:color w:val="000000"/>
          <w:sz w:val="23"/>
          <w:szCs w:val="23"/>
          <w:lang w:val="is-IS"/>
        </w:rPr>
        <w:t> </w:t>
      </w:r>
      <w:r w:rsidRPr="006D6EDB">
        <w:rPr>
          <w:rFonts w:cstheme="minorHAnsi"/>
          <w:color w:val="000000"/>
          <w:sz w:val="23"/>
          <w:szCs w:val="23"/>
          <w:lang w:val="is-IS"/>
        </w:rPr>
        <w:t>um form og efni fjárfestingarstefnu lífeyrissjóða og hvernig henni skuli skilað til eftirlitsins.]</w:t>
      </w:r>
      <w:r w:rsidRPr="006D6EDB">
        <w:rPr>
          <w:rFonts w:cstheme="minorHAnsi"/>
          <w:color w:val="000000"/>
          <w:sz w:val="23"/>
          <w:szCs w:val="23"/>
          <w:vertAlign w:val="superscript"/>
          <w:lang w:val="is-IS"/>
        </w:rPr>
        <w:t>3)</w:t>
      </w:r>
      <w:r w:rsidRPr="006D6EDB">
        <w:rPr>
          <w:rFonts w:cstheme="minorHAnsi"/>
          <w:color w:val="000000"/>
          <w:sz w:val="23"/>
          <w:szCs w:val="23"/>
          <w:lang w:val="is-IS"/>
        </w:rPr>
        <w:br/>
        <w:t>   </w:t>
      </w:r>
      <w:r w:rsidRPr="006D6EDB">
        <w:rPr>
          <w:rFonts w:cstheme="minorHAnsi"/>
          <w:i/>
          <w:iCs/>
          <w:color w:val="000000"/>
          <w:sz w:val="23"/>
          <w:szCs w:val="23"/>
          <w:vertAlign w:val="superscript"/>
          <w:lang w:val="is-IS"/>
        </w:rPr>
        <w:t>1)</w:t>
      </w:r>
      <w:bookmarkEnd w:id="38"/>
      <w:r w:rsidRPr="006D6EDB">
        <w:rPr>
          <w:rFonts w:cstheme="minorHAnsi"/>
          <w:i/>
          <w:iCs/>
          <w:color w:val="000000"/>
          <w:sz w:val="23"/>
          <w:szCs w:val="23"/>
          <w:lang w:val="is-IS"/>
        </w:rPr>
        <w:fldChar w:fldCharType="begin"/>
      </w:r>
      <w:r w:rsidRPr="006D6EDB">
        <w:rPr>
          <w:rFonts w:cstheme="minorHAnsi"/>
          <w:i/>
          <w:iCs/>
          <w:color w:val="000000"/>
          <w:sz w:val="23"/>
          <w:szCs w:val="23"/>
          <w:lang w:val="is-IS"/>
        </w:rPr>
        <w:instrText xml:space="preserve"> HYPERLINK "http://www.althingi.is/altext/stjt/2004.070.html" </w:instrText>
      </w:r>
      <w:r w:rsidRPr="006D6EDB">
        <w:rPr>
          <w:rFonts w:cstheme="minorHAnsi"/>
          <w:i/>
          <w:iCs/>
          <w:color w:val="000000"/>
          <w:sz w:val="23"/>
          <w:szCs w:val="23"/>
          <w:lang w:val="is-IS"/>
        </w:rPr>
        <w:fldChar w:fldCharType="separate"/>
      </w:r>
      <w:r w:rsidRPr="006D6EDB">
        <w:rPr>
          <w:rStyle w:val="Hyperlink"/>
          <w:rFonts w:cstheme="minorHAnsi"/>
          <w:i/>
          <w:iCs/>
          <w:sz w:val="23"/>
          <w:szCs w:val="23"/>
          <w:lang w:val="is-IS"/>
        </w:rPr>
        <w:t>L. 70/2004, 5. gr.</w:t>
      </w:r>
      <w:r w:rsidRPr="006D6EDB">
        <w:rPr>
          <w:rFonts w:cstheme="minorHAnsi"/>
          <w:i/>
          <w:iCs/>
          <w:color w:val="000000"/>
          <w:sz w:val="23"/>
          <w:szCs w:val="23"/>
          <w:lang w:val="is-IS"/>
        </w:rPr>
        <w:fldChar w:fldCharType="end"/>
      </w:r>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2)</w:t>
      </w:r>
      <w:r w:rsidRPr="006D6EDB">
        <w:rPr>
          <w:rFonts w:cstheme="minorHAnsi"/>
          <w:i/>
          <w:iCs/>
          <w:color w:val="000000"/>
          <w:sz w:val="23"/>
          <w:szCs w:val="23"/>
          <w:lang w:val="is-IS"/>
        </w:rPr>
        <w:t>Rgl. 966/2001, sbr.</w:t>
      </w:r>
      <w:r w:rsidRPr="006D6EDB">
        <w:rPr>
          <w:rStyle w:val="apple-converted-space"/>
          <w:rFonts w:cstheme="minorHAnsi"/>
          <w:i/>
          <w:iCs/>
          <w:color w:val="000000"/>
          <w:sz w:val="23"/>
          <w:szCs w:val="23"/>
          <w:lang w:val="is-IS"/>
        </w:rPr>
        <w:t> </w:t>
      </w:r>
      <w:hyperlink r:id="rId22" w:history="1">
        <w:r w:rsidRPr="006D6EDB">
          <w:rPr>
            <w:rStyle w:val="Hyperlink"/>
            <w:rFonts w:cstheme="minorHAnsi"/>
            <w:i/>
            <w:iCs/>
            <w:sz w:val="23"/>
            <w:szCs w:val="23"/>
            <w:lang w:val="is-IS"/>
          </w:rPr>
          <w:t>335/2006</w:t>
        </w:r>
      </w:hyperlink>
      <w:r w:rsidRPr="006D6EDB">
        <w:rPr>
          <w:rFonts w:cstheme="minorHAnsi"/>
          <w:i/>
          <w:iCs/>
          <w:color w:val="000000"/>
          <w:sz w:val="23"/>
          <w:szCs w:val="23"/>
          <w:lang w:val="is-IS"/>
        </w:rPr>
        <w:t>.</w:t>
      </w:r>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3)</w:t>
      </w:r>
      <w:hyperlink r:id="rId23" w:history="1">
        <w:r w:rsidRPr="006D6EDB">
          <w:rPr>
            <w:rStyle w:val="Hyperlink"/>
            <w:rFonts w:cstheme="minorHAnsi"/>
            <w:i/>
            <w:iCs/>
            <w:sz w:val="23"/>
            <w:szCs w:val="23"/>
            <w:lang w:val="is-IS"/>
          </w:rPr>
          <w:t>L. 56/2000, 8. gr.</w:t>
        </w:r>
      </w:hyperlink>
      <w:r w:rsidRPr="006D6EDB">
        <w:rPr>
          <w:rStyle w:val="apple-converted-space"/>
          <w:rFonts w:cstheme="minorHAnsi"/>
          <w:i/>
          <w:iCs/>
          <w:color w:val="000000"/>
          <w:sz w:val="23"/>
          <w:szCs w:val="23"/>
          <w:lang w:val="is-IS"/>
        </w:rPr>
        <w:t> </w:t>
      </w:r>
      <w:r w:rsidRPr="006D6EDB">
        <w:rPr>
          <w:rFonts w:cstheme="minorHAnsi"/>
          <w:color w:val="000000"/>
          <w:sz w:val="23"/>
          <w:szCs w:val="23"/>
          <w:lang w:val="is-IS"/>
        </w:rPr>
        <w:br/>
      </w:r>
      <w:bookmarkStart w:id="39" w:name="G38"/>
      <w:r w:rsidRPr="006D6EDB">
        <w:rPr>
          <w:rFonts w:cstheme="minorHAnsi"/>
          <w:noProof/>
          <w:color w:val="000000"/>
          <w:sz w:val="23"/>
          <w:szCs w:val="23"/>
          <w:lang w:val="is-IS"/>
        </w:rPr>
        <w:drawing>
          <wp:inline distT="0" distB="0" distL="0" distR="0" wp14:anchorId="2DA6D1E6" wp14:editId="73CF3E77">
            <wp:extent cx="102235" cy="102235"/>
            <wp:effectExtent l="0" t="0" r="0" b="0"/>
            <wp:docPr id="11" name="Picture 11" descr="http://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6D6EDB">
        <w:rPr>
          <w:rStyle w:val="apple-converted-space"/>
          <w:rFonts w:cstheme="minorHAnsi"/>
          <w:color w:val="000000"/>
          <w:sz w:val="23"/>
          <w:szCs w:val="23"/>
          <w:lang w:val="is-IS"/>
        </w:rPr>
        <w:t> </w:t>
      </w:r>
      <w:r w:rsidRPr="006D6EDB">
        <w:rPr>
          <w:rFonts w:cstheme="minorHAnsi"/>
          <w:b/>
          <w:bCs/>
          <w:color w:val="000000"/>
          <w:sz w:val="23"/>
          <w:szCs w:val="23"/>
          <w:lang w:val="is-IS"/>
        </w:rPr>
        <w:t>38. gr.</w:t>
      </w:r>
      <w:bookmarkStart w:id="40" w:name="G38M1"/>
      <w:bookmarkEnd w:id="39"/>
      <w:r w:rsidRPr="006D6EDB">
        <w:rPr>
          <w:rStyle w:val="apple-converted-space"/>
          <w:rFonts w:cstheme="minorHAnsi"/>
          <w:color w:val="000000"/>
          <w:sz w:val="23"/>
          <w:szCs w:val="23"/>
          <w:lang w:val="is-IS"/>
        </w:rPr>
        <w:t> </w:t>
      </w:r>
      <w:r w:rsidRPr="006D6EDB">
        <w:rPr>
          <w:rFonts w:cstheme="minorHAnsi"/>
          <w:color w:val="000000"/>
          <w:sz w:val="23"/>
          <w:szCs w:val="23"/>
          <w:lang w:val="is-IS"/>
        </w:rPr>
        <w:t>[Lífeyrissjóður má ekki fjárfesta í fasteignum eða lausafé nema að því marki sem nauðsynlegt er vegna starfsemi sjóðsins.</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709C5A3B" wp14:editId="393E8524">
            <wp:extent cx="102235" cy="102235"/>
            <wp:effectExtent l="0" t="0" r="0" b="0"/>
            <wp:docPr id="10" name="Picture 10"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41" w:name="G38M2"/>
      <w:bookmarkEnd w:id="40"/>
      <w:r w:rsidRPr="006D6EDB">
        <w:rPr>
          <w:rStyle w:val="apple-converted-space"/>
          <w:rFonts w:cstheme="minorHAnsi"/>
          <w:color w:val="000000"/>
          <w:sz w:val="23"/>
          <w:szCs w:val="23"/>
          <w:lang w:val="is-IS"/>
        </w:rPr>
        <w:t> </w:t>
      </w:r>
      <w:r w:rsidRPr="006D6EDB">
        <w:rPr>
          <w:rFonts w:cstheme="minorHAnsi"/>
          <w:color w:val="000000"/>
          <w:sz w:val="23"/>
          <w:szCs w:val="23"/>
          <w:lang w:val="is-IS"/>
        </w:rPr>
        <w:t>Þrátt fyrir ákvæði 1. mgr. er lífeyrissjóði heimilt án takmarkana að yfirtaka eignir til að tryggja fullnustu kröfu. Eignirnar skulu seldar eigi síðar en innan 18 mánaða frá yfirtöku eignanna. Heimilt er þó að draga sölu lengur sé það augljóslega í þágu hagsmuna sjóðsins. Slíkan drátt á sölu eigna skal tilkynna Fjármálaeftirlitinu sem getur þá krafist sölu þeirra innan viðeigandi frests.]</w:t>
      </w:r>
      <w:r w:rsidRPr="006D6EDB">
        <w:rPr>
          <w:rFonts w:cstheme="minorHAnsi"/>
          <w:color w:val="000000"/>
          <w:sz w:val="23"/>
          <w:szCs w:val="23"/>
          <w:vertAlign w:val="superscript"/>
          <w:lang w:val="is-IS"/>
        </w:rPr>
        <w:t>1)</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2E868BB9" wp14:editId="7AAB0348">
            <wp:extent cx="102235" cy="102235"/>
            <wp:effectExtent l="0" t="0" r="0" b="0"/>
            <wp:docPr id="9" name="Picture 9"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42" w:name="G38M3"/>
      <w:bookmarkEnd w:id="41"/>
      <w:r w:rsidRPr="006D6EDB">
        <w:rPr>
          <w:rStyle w:val="apple-converted-space"/>
          <w:rFonts w:cstheme="minorHAnsi"/>
          <w:color w:val="000000"/>
          <w:sz w:val="23"/>
          <w:szCs w:val="23"/>
          <w:lang w:val="is-IS"/>
        </w:rPr>
        <w:t> </w:t>
      </w:r>
      <w:r w:rsidRPr="006D6EDB">
        <w:rPr>
          <w:rFonts w:cstheme="minorHAnsi"/>
          <w:color w:val="000000"/>
          <w:sz w:val="23"/>
          <w:szCs w:val="23"/>
          <w:lang w:val="is-IS"/>
        </w:rPr>
        <w:t>Lífeyrissjóði er óheimilt að taka lán nema til fjárfestingar í fasteignum sem eru nauðsynlegar vegna starfsemi sjóðsins. Lífeyrissjóði er þó heimilt að nýta almenna greiðslufresti vegna kaupa á verðbréfum eða taka skammtímalán til þess að jafna fjárstreymi.</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0DA9E183" wp14:editId="493D17E9">
            <wp:extent cx="102235" cy="102235"/>
            <wp:effectExtent l="0" t="0" r="0" b="0"/>
            <wp:docPr id="8" name="Picture 8"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43" w:name="G38M4"/>
      <w:bookmarkEnd w:id="42"/>
      <w:r w:rsidRPr="006D6EDB">
        <w:rPr>
          <w:rStyle w:val="apple-converted-space"/>
          <w:rFonts w:cstheme="minorHAnsi"/>
          <w:color w:val="000000"/>
          <w:sz w:val="23"/>
          <w:szCs w:val="23"/>
          <w:lang w:val="is-IS"/>
        </w:rPr>
        <w:t> </w:t>
      </w:r>
      <w:r w:rsidRPr="006D6EDB">
        <w:rPr>
          <w:rFonts w:cstheme="minorHAnsi"/>
          <w:color w:val="000000"/>
          <w:sz w:val="23"/>
          <w:szCs w:val="23"/>
          <w:lang w:val="is-IS"/>
        </w:rPr>
        <w:t>Lífeyrissjóði er óheimilt að veita lán til stjórnarmanna, varamanna þeirra, starfsmanna sjóðsins, endurskoðenda, eftirlitsaðila, þeirra er framkvæma tryggingafræðilega athugun á hag sjóðsins eða maka þessara aðila, nema þeir séu félagar í viðkomandi sjóði og þá eftir þeim reglum sem gilda um lán til sjóðfélaga almennt.</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47CB1DC3" wp14:editId="56418CB1">
            <wp:extent cx="102235" cy="102235"/>
            <wp:effectExtent l="0" t="0" r="0" b="0"/>
            <wp:docPr id="7" name="Picture 7"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44" w:name="G38M5"/>
      <w:bookmarkEnd w:id="43"/>
      <w:r w:rsidRPr="006D6EDB">
        <w:rPr>
          <w:rStyle w:val="apple-converted-space"/>
          <w:rFonts w:cstheme="minorHAnsi"/>
          <w:color w:val="000000"/>
          <w:sz w:val="23"/>
          <w:szCs w:val="23"/>
          <w:lang w:val="is-IS"/>
        </w:rPr>
        <w:t> </w:t>
      </w:r>
      <w:r w:rsidRPr="006D6EDB">
        <w:rPr>
          <w:rFonts w:cstheme="minorHAnsi"/>
          <w:color w:val="000000"/>
          <w:sz w:val="23"/>
          <w:szCs w:val="23"/>
          <w:lang w:val="is-IS"/>
        </w:rPr>
        <w:t>[Þrátt fyrir ákvæði 1. og 2. mgr. er lífeyrissjóði heimilt að fjárfesta í íbúðarhúsnæði í samræmi við 11. tölul. 1. mgr. 36. gr. Lífeyrissjóði er jafnframt heimilt að halda því íbúðarhúsnæði sem hann hefur eignast við yfirtöku skv. 2. mgr. og skal líta á slíkt sem fjárfestingu skv. 11. tölul. 1. mgr. 36. gr.]</w:t>
      </w:r>
      <w:r w:rsidRPr="006D6EDB">
        <w:rPr>
          <w:rFonts w:cstheme="minorHAnsi"/>
          <w:color w:val="000000"/>
          <w:sz w:val="23"/>
          <w:szCs w:val="23"/>
          <w:vertAlign w:val="superscript"/>
          <w:lang w:val="is-IS"/>
        </w:rPr>
        <w:t>2)</w:t>
      </w:r>
      <w:r w:rsidRPr="006D6EDB">
        <w:rPr>
          <w:rFonts w:cstheme="minorHAnsi"/>
          <w:color w:val="000000"/>
          <w:sz w:val="23"/>
          <w:szCs w:val="23"/>
          <w:lang w:val="is-IS"/>
        </w:rPr>
        <w:br/>
        <w:t>   </w:t>
      </w:r>
      <w:r w:rsidRPr="006D6EDB">
        <w:rPr>
          <w:rFonts w:cstheme="minorHAnsi"/>
          <w:i/>
          <w:iCs/>
          <w:color w:val="000000"/>
          <w:sz w:val="23"/>
          <w:szCs w:val="23"/>
          <w:vertAlign w:val="superscript"/>
          <w:lang w:val="is-IS"/>
        </w:rPr>
        <w:t>1)</w:t>
      </w:r>
      <w:bookmarkEnd w:id="44"/>
      <w:r w:rsidRPr="006D6EDB">
        <w:rPr>
          <w:rFonts w:cstheme="minorHAnsi"/>
          <w:i/>
          <w:iCs/>
          <w:color w:val="000000"/>
          <w:sz w:val="23"/>
          <w:szCs w:val="23"/>
          <w:lang w:val="is-IS"/>
        </w:rPr>
        <w:fldChar w:fldCharType="begin"/>
      </w:r>
      <w:r w:rsidRPr="006D6EDB">
        <w:rPr>
          <w:rFonts w:cstheme="minorHAnsi"/>
          <w:i/>
          <w:iCs/>
          <w:color w:val="000000"/>
          <w:sz w:val="23"/>
          <w:szCs w:val="23"/>
          <w:lang w:val="is-IS"/>
        </w:rPr>
        <w:instrText xml:space="preserve"> HYPERLINK "http://www.althingi.is/altext/stjt/2000.056.html" </w:instrText>
      </w:r>
      <w:r w:rsidRPr="006D6EDB">
        <w:rPr>
          <w:rFonts w:cstheme="minorHAnsi"/>
          <w:i/>
          <w:iCs/>
          <w:color w:val="000000"/>
          <w:sz w:val="23"/>
          <w:szCs w:val="23"/>
          <w:lang w:val="is-IS"/>
        </w:rPr>
        <w:fldChar w:fldCharType="separate"/>
      </w:r>
      <w:r w:rsidRPr="006D6EDB">
        <w:rPr>
          <w:rStyle w:val="Hyperlink"/>
          <w:rFonts w:cstheme="minorHAnsi"/>
          <w:i/>
          <w:iCs/>
          <w:sz w:val="23"/>
          <w:szCs w:val="23"/>
          <w:lang w:val="is-IS"/>
        </w:rPr>
        <w:t>L. 56/2000, 9. gr.</w:t>
      </w:r>
      <w:r w:rsidRPr="006D6EDB">
        <w:rPr>
          <w:rFonts w:cstheme="minorHAnsi"/>
          <w:i/>
          <w:iCs/>
          <w:color w:val="000000"/>
          <w:sz w:val="23"/>
          <w:szCs w:val="23"/>
          <w:lang w:val="is-IS"/>
        </w:rPr>
        <w:fldChar w:fldCharType="end"/>
      </w:r>
      <w:r w:rsidRPr="006D6EDB">
        <w:rPr>
          <w:rStyle w:val="apple-converted-space"/>
          <w:rFonts w:cstheme="minorHAnsi"/>
          <w:i/>
          <w:iCs/>
          <w:color w:val="000000"/>
          <w:sz w:val="23"/>
          <w:szCs w:val="23"/>
          <w:lang w:val="is-IS"/>
        </w:rPr>
        <w:t> </w:t>
      </w:r>
      <w:r w:rsidRPr="006D6EDB">
        <w:rPr>
          <w:rFonts w:cstheme="minorHAnsi"/>
          <w:i/>
          <w:iCs/>
          <w:color w:val="000000"/>
          <w:sz w:val="23"/>
          <w:szCs w:val="23"/>
          <w:vertAlign w:val="superscript"/>
          <w:lang w:val="is-IS"/>
        </w:rPr>
        <w:t>2)</w:t>
      </w:r>
      <w:hyperlink r:id="rId24" w:history="1">
        <w:r w:rsidRPr="006D6EDB">
          <w:rPr>
            <w:rStyle w:val="Hyperlink"/>
            <w:rFonts w:cstheme="minorHAnsi"/>
            <w:i/>
            <w:iCs/>
            <w:sz w:val="23"/>
            <w:szCs w:val="23"/>
            <w:lang w:val="is-IS"/>
          </w:rPr>
          <w:t>L. 123/2011, 2. gr.</w:t>
        </w:r>
      </w:hyperlink>
      <w:r w:rsidRPr="006D6EDB">
        <w:rPr>
          <w:rStyle w:val="apple-converted-space"/>
          <w:rFonts w:cstheme="minorHAnsi"/>
          <w:i/>
          <w:iCs/>
          <w:color w:val="000000"/>
          <w:sz w:val="23"/>
          <w:szCs w:val="23"/>
          <w:lang w:val="is-IS"/>
        </w:rPr>
        <w:t> </w:t>
      </w:r>
      <w:r w:rsidRPr="006D6EDB">
        <w:rPr>
          <w:rFonts w:cstheme="minorHAnsi"/>
          <w:color w:val="000000"/>
          <w:sz w:val="23"/>
          <w:szCs w:val="23"/>
          <w:lang w:val="is-IS"/>
        </w:rPr>
        <w:br/>
      </w:r>
      <w:bookmarkStart w:id="45" w:name="G39"/>
      <w:r w:rsidRPr="006D6EDB">
        <w:rPr>
          <w:rFonts w:cstheme="minorHAnsi"/>
          <w:noProof/>
          <w:color w:val="000000"/>
          <w:sz w:val="23"/>
          <w:szCs w:val="23"/>
          <w:lang w:val="is-IS"/>
        </w:rPr>
        <w:drawing>
          <wp:inline distT="0" distB="0" distL="0" distR="0" wp14:anchorId="2BBF4DC0" wp14:editId="6516845B">
            <wp:extent cx="102235" cy="102235"/>
            <wp:effectExtent l="0" t="0" r="0" b="0"/>
            <wp:docPr id="6" name="Picture 6" descr="http://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6D6EDB">
        <w:rPr>
          <w:rStyle w:val="apple-converted-space"/>
          <w:rFonts w:cstheme="minorHAnsi"/>
          <w:color w:val="000000"/>
          <w:sz w:val="23"/>
          <w:szCs w:val="23"/>
          <w:lang w:val="is-IS"/>
        </w:rPr>
        <w:t> </w:t>
      </w:r>
      <w:r w:rsidRPr="006D6EDB">
        <w:rPr>
          <w:rFonts w:cstheme="minorHAnsi"/>
          <w:b/>
          <w:bCs/>
          <w:color w:val="000000"/>
          <w:sz w:val="23"/>
          <w:szCs w:val="23"/>
          <w:lang w:val="is-IS"/>
        </w:rPr>
        <w:t>39. gr.</w:t>
      </w:r>
      <w:bookmarkStart w:id="46" w:name="G39M1"/>
      <w:bookmarkEnd w:id="45"/>
      <w:r w:rsidRPr="006D6EDB">
        <w:rPr>
          <w:rStyle w:val="apple-converted-space"/>
          <w:rFonts w:cstheme="minorHAnsi"/>
          <w:color w:val="000000"/>
          <w:sz w:val="23"/>
          <w:szCs w:val="23"/>
          <w:lang w:val="is-IS"/>
        </w:rPr>
        <w:t> </w:t>
      </w:r>
      <w:r w:rsidRPr="006D6EDB">
        <w:rPr>
          <w:rFonts w:cstheme="minorHAnsi"/>
          <w:color w:val="000000"/>
          <w:sz w:val="23"/>
          <w:szCs w:val="23"/>
          <w:lang w:val="is-IS"/>
        </w:rPr>
        <w:t>Hrein eign lífeyrissjóðs til greiðslu lífeyris ásamt núvirði framtíðariðgjalda skal vera jafnhá núvirði væntanlegs lífeyris vegna þegar greiddra iðgjalda og framtíðariðgjalda. Áætlun um framtíðariðgjöld og væntanlegan lífeyri skal miðuð við sjóðfélaga á þeim tíma sem tryggingafræðileg athugun tekur mið af. Hrein eign til greiðslu lífeyris skal á hverjum tíma metin í samræmi við ákvæði 24. gr.</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2BE08D72" wp14:editId="609F27F4">
            <wp:extent cx="102235" cy="102235"/>
            <wp:effectExtent l="0" t="0" r="0" b="0"/>
            <wp:docPr id="5" name="Picture 5"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47" w:name="G39M2"/>
      <w:bookmarkEnd w:id="46"/>
      <w:r w:rsidRPr="006D6EDB">
        <w:rPr>
          <w:rStyle w:val="apple-converted-space"/>
          <w:rFonts w:cstheme="minorHAnsi"/>
          <w:color w:val="000000"/>
          <w:sz w:val="23"/>
          <w:szCs w:val="23"/>
          <w:lang w:val="is-IS"/>
        </w:rPr>
        <w:t> </w:t>
      </w:r>
      <w:r w:rsidRPr="006D6EDB">
        <w:rPr>
          <w:rFonts w:cstheme="minorHAnsi"/>
          <w:color w:val="000000"/>
          <w:sz w:val="23"/>
          <w:szCs w:val="23"/>
          <w:lang w:val="is-IS"/>
        </w:rPr>
        <w:t>Leiði tryggingafræðileg athugun skv. 24. gr. í ljós að meira en 10% munur er á milli eignarliða og lífeyrisskuldbindinga skv. 1. mgr. er hlutaðeigandi lífeyrissjóði skylt að gera nauðsynlegar breytingar á samþykktum sjóðsins. Sama gildir ef munur samkvæmt tryggingafræðilegum athugunum á milli eignarliða og lífeyrisskuldbindinga hefur haldist meiri en 5% samfellt í fimm ár.</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54CC97CD" wp14:editId="47E87D59">
            <wp:extent cx="102235" cy="102235"/>
            <wp:effectExtent l="0" t="0" r="0" b="0"/>
            <wp:docPr id="4" name="Picture 4"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48" w:name="G39M3"/>
      <w:bookmarkEnd w:id="47"/>
      <w:r w:rsidRPr="006D6EDB">
        <w:rPr>
          <w:rStyle w:val="apple-converted-space"/>
          <w:rFonts w:cstheme="minorHAnsi"/>
          <w:color w:val="000000"/>
          <w:sz w:val="23"/>
          <w:szCs w:val="23"/>
          <w:lang w:val="is-IS"/>
        </w:rPr>
        <w:t> </w:t>
      </w:r>
      <w:r w:rsidRPr="006D6EDB">
        <w:rPr>
          <w:rFonts w:cstheme="minorHAnsi"/>
          <w:color w:val="000000"/>
          <w:sz w:val="23"/>
          <w:szCs w:val="23"/>
          <w:lang w:val="is-IS"/>
        </w:rPr>
        <w:t>Stjórn lífeyrissjóðs er skylt að fá álit tryggingafræðings á áhrifum breytinga á samþykktum lífeyrissjóðs á getu hans til þess að greiða lífeyri. Tryggingafræðingi lífeyrissjóðs er skylt að skýra stjórn sjóðsins þegar í stað frá því ef tryggingafræðileg úttekt leiðir í ljós að sjóðurinn stendur ekki við skuldbindingar sínar. Hann skal skila tillögum til úrbóta til stjórnar og gera [Fjármálaeftirlitinu]</w:t>
      </w:r>
      <w:r w:rsidRPr="006D6EDB">
        <w:rPr>
          <w:rFonts w:cstheme="minorHAnsi"/>
          <w:color w:val="000000"/>
          <w:sz w:val="23"/>
          <w:szCs w:val="23"/>
          <w:vertAlign w:val="superscript"/>
          <w:lang w:val="is-IS"/>
        </w:rPr>
        <w:t>1)</w:t>
      </w:r>
      <w:r w:rsidRPr="006D6EDB">
        <w:rPr>
          <w:rStyle w:val="apple-converted-space"/>
          <w:rFonts w:cstheme="minorHAnsi"/>
          <w:color w:val="000000"/>
          <w:sz w:val="23"/>
          <w:szCs w:val="23"/>
          <w:lang w:val="is-IS"/>
        </w:rPr>
        <w:t> </w:t>
      </w:r>
      <w:r w:rsidRPr="006D6EDB">
        <w:rPr>
          <w:rFonts w:cstheme="minorHAnsi"/>
          <w:color w:val="000000"/>
          <w:sz w:val="23"/>
          <w:szCs w:val="23"/>
          <w:lang w:val="is-IS"/>
        </w:rPr>
        <w:t>viðvart.</w:t>
      </w:r>
      <w:r w:rsidRPr="006D6EDB">
        <w:rPr>
          <w:rFonts w:cstheme="minorHAnsi"/>
          <w:color w:val="000000"/>
          <w:sz w:val="23"/>
          <w:szCs w:val="23"/>
          <w:lang w:val="is-IS"/>
        </w:rPr>
        <w:br/>
      </w:r>
      <w:r w:rsidRPr="006D6EDB">
        <w:rPr>
          <w:rFonts w:cstheme="minorHAnsi"/>
          <w:noProof/>
          <w:color w:val="000000"/>
          <w:sz w:val="23"/>
          <w:szCs w:val="23"/>
          <w:lang w:val="is-IS"/>
        </w:rPr>
        <w:drawing>
          <wp:inline distT="0" distB="0" distL="0" distR="0" wp14:anchorId="3D1D8C0F" wp14:editId="3192F54A">
            <wp:extent cx="102235" cy="102235"/>
            <wp:effectExtent l="0" t="0" r="0" b="0"/>
            <wp:docPr id="3" name="Picture 3" descr="http://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lthingi.is/lagas/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bookmarkStart w:id="49" w:name="G39M4"/>
      <w:bookmarkEnd w:id="48"/>
      <w:r w:rsidRPr="006D6EDB">
        <w:rPr>
          <w:rStyle w:val="apple-converted-space"/>
          <w:rFonts w:cstheme="minorHAnsi"/>
          <w:color w:val="000000"/>
          <w:sz w:val="23"/>
          <w:szCs w:val="23"/>
          <w:lang w:val="is-IS"/>
        </w:rPr>
        <w:t> </w:t>
      </w:r>
      <w:r w:rsidRPr="006D6EDB">
        <w:rPr>
          <w:rFonts w:cstheme="minorHAnsi"/>
          <w:color w:val="000000"/>
          <w:sz w:val="23"/>
          <w:szCs w:val="23"/>
          <w:lang w:val="is-IS"/>
        </w:rPr>
        <w:t>Tryggingafræðingur lífeyrissjóðs má ekki sitja í stjórn hans, vera starfsmaður hans eða starfa í þágu hans að öðru en tryggingafræðilegum athugunum og tengdri ráðgjöf.</w:t>
      </w:r>
      <w:r w:rsidRPr="006D6EDB">
        <w:rPr>
          <w:rFonts w:cstheme="minorHAnsi"/>
          <w:color w:val="000000"/>
          <w:sz w:val="23"/>
          <w:szCs w:val="23"/>
          <w:lang w:val="is-IS"/>
        </w:rPr>
        <w:br/>
        <w:t>   </w:t>
      </w:r>
      <w:r w:rsidRPr="006D6EDB">
        <w:rPr>
          <w:rFonts w:cstheme="minorHAnsi"/>
          <w:i/>
          <w:iCs/>
          <w:color w:val="000000"/>
          <w:sz w:val="23"/>
          <w:szCs w:val="23"/>
          <w:vertAlign w:val="superscript"/>
          <w:lang w:val="is-IS"/>
        </w:rPr>
        <w:t>1)</w:t>
      </w:r>
      <w:bookmarkEnd w:id="49"/>
      <w:r w:rsidRPr="006D6EDB">
        <w:rPr>
          <w:rFonts w:cstheme="minorHAnsi"/>
          <w:i/>
          <w:iCs/>
          <w:color w:val="000000"/>
          <w:sz w:val="23"/>
          <w:szCs w:val="23"/>
          <w:lang w:val="is-IS"/>
        </w:rPr>
        <w:fldChar w:fldCharType="begin"/>
      </w:r>
      <w:r w:rsidRPr="006D6EDB">
        <w:rPr>
          <w:rFonts w:cstheme="minorHAnsi"/>
          <w:i/>
          <w:iCs/>
          <w:color w:val="000000"/>
          <w:sz w:val="23"/>
          <w:szCs w:val="23"/>
          <w:lang w:val="is-IS"/>
        </w:rPr>
        <w:instrText xml:space="preserve"> HYPERLINK "http://www.althingi.is/altext/stjt/1998.084.html" </w:instrText>
      </w:r>
      <w:r w:rsidRPr="006D6EDB">
        <w:rPr>
          <w:rFonts w:cstheme="minorHAnsi"/>
          <w:i/>
          <w:iCs/>
          <w:color w:val="000000"/>
          <w:sz w:val="23"/>
          <w:szCs w:val="23"/>
          <w:lang w:val="is-IS"/>
        </w:rPr>
        <w:fldChar w:fldCharType="separate"/>
      </w:r>
      <w:r w:rsidRPr="006D6EDB">
        <w:rPr>
          <w:rStyle w:val="Hyperlink"/>
          <w:rFonts w:cstheme="minorHAnsi"/>
          <w:i/>
          <w:iCs/>
          <w:sz w:val="23"/>
          <w:szCs w:val="23"/>
          <w:lang w:val="is-IS"/>
        </w:rPr>
        <w:t>L. 84/1998, 7. gr.</w:t>
      </w:r>
      <w:r w:rsidRPr="006D6EDB">
        <w:rPr>
          <w:rFonts w:cstheme="minorHAnsi"/>
          <w:i/>
          <w:iCs/>
          <w:color w:val="000000"/>
          <w:sz w:val="23"/>
          <w:szCs w:val="23"/>
          <w:lang w:val="is-IS"/>
        </w:rPr>
        <w:fldChar w:fldCharType="end"/>
      </w:r>
      <w:r w:rsidRPr="006D6EDB">
        <w:rPr>
          <w:rStyle w:val="apple-converted-space"/>
          <w:rFonts w:cstheme="minorHAnsi"/>
          <w:i/>
          <w:iCs/>
          <w:color w:val="000000"/>
          <w:sz w:val="23"/>
          <w:szCs w:val="23"/>
          <w:lang w:val="is-IS"/>
        </w:rPr>
        <w:t> </w:t>
      </w:r>
    </w:p>
    <w:sectPr w:rsidR="006D6EDB" w:rsidRPr="006D6EDB">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DB" w:rsidRDefault="006D6EDB" w:rsidP="006D6EDB">
      <w:pPr>
        <w:spacing w:after="0" w:line="240" w:lineRule="auto"/>
      </w:pPr>
      <w:r>
        <w:separator/>
      </w:r>
    </w:p>
  </w:endnote>
  <w:endnote w:type="continuationSeparator" w:id="0">
    <w:p w:rsidR="006D6EDB" w:rsidRDefault="006D6EDB" w:rsidP="006D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84610"/>
      <w:docPartObj>
        <w:docPartGallery w:val="Page Numbers (Bottom of Page)"/>
        <w:docPartUnique/>
      </w:docPartObj>
    </w:sdtPr>
    <w:sdtEndPr>
      <w:rPr>
        <w:noProof/>
      </w:rPr>
    </w:sdtEndPr>
    <w:sdtContent>
      <w:p w:rsidR="006D6EDB" w:rsidRDefault="006D6E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6EDB" w:rsidRDefault="006D6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DB" w:rsidRDefault="006D6EDB" w:rsidP="006D6EDB">
      <w:pPr>
        <w:spacing w:after="0" w:line="240" w:lineRule="auto"/>
      </w:pPr>
      <w:r>
        <w:separator/>
      </w:r>
    </w:p>
  </w:footnote>
  <w:footnote w:type="continuationSeparator" w:id="0">
    <w:p w:rsidR="006D6EDB" w:rsidRDefault="006D6EDB" w:rsidP="006D6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DB" w:rsidRPr="006D6EDB" w:rsidRDefault="006D6EDB">
    <w:pPr>
      <w:pStyle w:val="Header"/>
      <w:rPr>
        <w:b/>
        <w:sz w:val="23"/>
        <w:szCs w:val="23"/>
        <w:lang w:val="is-IS"/>
      </w:rPr>
    </w:pPr>
    <w:r w:rsidRPr="006D6EDB">
      <w:rPr>
        <w:b/>
        <w:sz w:val="23"/>
        <w:szCs w:val="23"/>
        <w:lang w:val="is-IS"/>
      </w:rPr>
      <w:t>Útdráttur úr lögum nr. 129/1997, með síðari breytingum</w:t>
    </w:r>
  </w:p>
  <w:p w:rsidR="006D6EDB" w:rsidRPr="006D6EDB" w:rsidRDefault="006D6EDB" w:rsidP="006D6EDB">
    <w:pPr>
      <w:pStyle w:val="Header"/>
      <w:pBdr>
        <w:bottom w:val="single" w:sz="4" w:space="1" w:color="auto"/>
      </w:pBdr>
      <w:rPr>
        <w:b/>
        <w:sz w:val="23"/>
        <w:szCs w:val="23"/>
        <w:lang w:val="is-IS"/>
      </w:rPr>
    </w:pPr>
    <w:r w:rsidRPr="006D6EDB">
      <w:rPr>
        <w:b/>
        <w:sz w:val="23"/>
        <w:szCs w:val="23"/>
        <w:lang w:val="is-IS"/>
      </w:rPr>
      <w:t xml:space="preserve">Sótt á vef Alþingis, </w:t>
    </w:r>
    <w:hyperlink r:id="rId1" w:history="1">
      <w:r w:rsidRPr="006D6EDB">
        <w:rPr>
          <w:rStyle w:val="Hyperlink"/>
          <w:b/>
          <w:sz w:val="23"/>
          <w:szCs w:val="23"/>
          <w:lang w:val="is-IS"/>
        </w:rPr>
        <w:t>www.althingi.is</w:t>
      </w:r>
    </w:hyperlink>
    <w:r w:rsidRPr="006D6EDB">
      <w:rPr>
        <w:b/>
        <w:sz w:val="23"/>
        <w:szCs w:val="23"/>
        <w:lang w:val="is-IS"/>
      </w:rPr>
      <w:t>, 21/11/12</w:t>
    </w:r>
  </w:p>
  <w:p w:rsidR="006D6EDB" w:rsidRPr="006D6EDB" w:rsidRDefault="006D6EDB">
    <w:pPr>
      <w:pStyle w:val="Header"/>
      <w:rPr>
        <w:lang w:val="is-I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DB"/>
    <w:rsid w:val="006D6EDB"/>
    <w:rsid w:val="0081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6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EDB"/>
    <w:rPr>
      <w:rFonts w:ascii="Times New Roman" w:eastAsia="Times New Roman" w:hAnsi="Times New Roman" w:cs="Times New Roman"/>
      <w:b/>
      <w:bCs/>
      <w:sz w:val="36"/>
      <w:szCs w:val="36"/>
    </w:rPr>
  </w:style>
  <w:style w:type="character" w:styleId="Strong">
    <w:name w:val="Strong"/>
    <w:basedOn w:val="DefaultParagraphFont"/>
    <w:uiPriority w:val="22"/>
    <w:qFormat/>
    <w:rsid w:val="006D6EDB"/>
    <w:rPr>
      <w:b/>
      <w:bCs/>
    </w:rPr>
  </w:style>
  <w:style w:type="character" w:customStyle="1" w:styleId="apple-converted-space">
    <w:name w:val="apple-converted-space"/>
    <w:basedOn w:val="DefaultParagraphFont"/>
    <w:rsid w:val="006D6EDB"/>
  </w:style>
  <w:style w:type="character" w:styleId="Hyperlink">
    <w:name w:val="Hyperlink"/>
    <w:basedOn w:val="DefaultParagraphFont"/>
    <w:uiPriority w:val="99"/>
    <w:unhideWhenUsed/>
    <w:rsid w:val="006D6EDB"/>
    <w:rPr>
      <w:color w:val="0000FF"/>
      <w:u w:val="single"/>
    </w:rPr>
  </w:style>
  <w:style w:type="paragraph" w:styleId="BalloonText">
    <w:name w:val="Balloon Text"/>
    <w:basedOn w:val="Normal"/>
    <w:link w:val="BalloonTextChar"/>
    <w:uiPriority w:val="99"/>
    <w:semiHidden/>
    <w:unhideWhenUsed/>
    <w:rsid w:val="006D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DB"/>
    <w:rPr>
      <w:rFonts w:ascii="Tahoma" w:hAnsi="Tahoma" w:cs="Tahoma"/>
      <w:sz w:val="16"/>
      <w:szCs w:val="16"/>
    </w:rPr>
  </w:style>
  <w:style w:type="paragraph" w:styleId="Header">
    <w:name w:val="header"/>
    <w:basedOn w:val="Normal"/>
    <w:link w:val="HeaderChar"/>
    <w:uiPriority w:val="99"/>
    <w:unhideWhenUsed/>
    <w:rsid w:val="006D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DB"/>
  </w:style>
  <w:style w:type="paragraph" w:styleId="Footer">
    <w:name w:val="footer"/>
    <w:basedOn w:val="Normal"/>
    <w:link w:val="FooterChar"/>
    <w:uiPriority w:val="99"/>
    <w:unhideWhenUsed/>
    <w:rsid w:val="006D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6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EDB"/>
    <w:rPr>
      <w:rFonts w:ascii="Times New Roman" w:eastAsia="Times New Roman" w:hAnsi="Times New Roman" w:cs="Times New Roman"/>
      <w:b/>
      <w:bCs/>
      <w:sz w:val="36"/>
      <w:szCs w:val="36"/>
    </w:rPr>
  </w:style>
  <w:style w:type="character" w:styleId="Strong">
    <w:name w:val="Strong"/>
    <w:basedOn w:val="DefaultParagraphFont"/>
    <w:uiPriority w:val="22"/>
    <w:qFormat/>
    <w:rsid w:val="006D6EDB"/>
    <w:rPr>
      <w:b/>
      <w:bCs/>
    </w:rPr>
  </w:style>
  <w:style w:type="character" w:customStyle="1" w:styleId="apple-converted-space">
    <w:name w:val="apple-converted-space"/>
    <w:basedOn w:val="DefaultParagraphFont"/>
    <w:rsid w:val="006D6EDB"/>
  </w:style>
  <w:style w:type="character" w:styleId="Hyperlink">
    <w:name w:val="Hyperlink"/>
    <w:basedOn w:val="DefaultParagraphFont"/>
    <w:uiPriority w:val="99"/>
    <w:unhideWhenUsed/>
    <w:rsid w:val="006D6EDB"/>
    <w:rPr>
      <w:color w:val="0000FF"/>
      <w:u w:val="single"/>
    </w:rPr>
  </w:style>
  <w:style w:type="paragraph" w:styleId="BalloonText">
    <w:name w:val="Balloon Text"/>
    <w:basedOn w:val="Normal"/>
    <w:link w:val="BalloonTextChar"/>
    <w:uiPriority w:val="99"/>
    <w:semiHidden/>
    <w:unhideWhenUsed/>
    <w:rsid w:val="006D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DB"/>
    <w:rPr>
      <w:rFonts w:ascii="Tahoma" w:hAnsi="Tahoma" w:cs="Tahoma"/>
      <w:sz w:val="16"/>
      <w:szCs w:val="16"/>
    </w:rPr>
  </w:style>
  <w:style w:type="paragraph" w:styleId="Header">
    <w:name w:val="header"/>
    <w:basedOn w:val="Normal"/>
    <w:link w:val="HeaderChar"/>
    <w:uiPriority w:val="99"/>
    <w:unhideWhenUsed/>
    <w:rsid w:val="006D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DB"/>
  </w:style>
  <w:style w:type="paragraph" w:styleId="Footer">
    <w:name w:val="footer"/>
    <w:basedOn w:val="Normal"/>
    <w:link w:val="FooterChar"/>
    <w:uiPriority w:val="99"/>
    <w:unhideWhenUsed/>
    <w:rsid w:val="006D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thingi.is/altext/stjt/2004.070.html" TargetMode="External"/><Relationship Id="rId18" Type="http://schemas.openxmlformats.org/officeDocument/2006/relationships/hyperlink" Target="http://www.althingi.is/altext/stjt/2011.122.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lthingi.is/altext/stjt/2008.171.html" TargetMode="External"/><Relationship Id="rId7" Type="http://schemas.openxmlformats.org/officeDocument/2006/relationships/image" Target="media/image1.jpeg"/><Relationship Id="rId12" Type="http://schemas.openxmlformats.org/officeDocument/2006/relationships/hyperlink" Target="http://www.althingi.is/altext/stjt/2000.056.html" TargetMode="External"/><Relationship Id="rId17" Type="http://schemas.openxmlformats.org/officeDocument/2006/relationships/hyperlink" Target="http://www.althingi.is/altext/stjt/1998.084.html"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althingi.is/altext/stjt/2002.065.html" TargetMode="External"/><Relationship Id="rId20" Type="http://schemas.openxmlformats.org/officeDocument/2006/relationships/hyperlink" Target="http://www.althingi.is/altext/stjt/2009.013.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lthingi.is/altext/stjt/2006.028.html" TargetMode="External"/><Relationship Id="rId24" Type="http://schemas.openxmlformats.org/officeDocument/2006/relationships/hyperlink" Target="http://www.althingi.is/altext/stjt/2011.123.html" TargetMode="External"/><Relationship Id="rId5" Type="http://schemas.openxmlformats.org/officeDocument/2006/relationships/footnotes" Target="footnotes.xml"/><Relationship Id="rId15" Type="http://schemas.openxmlformats.org/officeDocument/2006/relationships/hyperlink" Target="http://www.althingi.is/altext/stjt/2004.148.html" TargetMode="External"/><Relationship Id="rId23" Type="http://schemas.openxmlformats.org/officeDocument/2006/relationships/hyperlink" Target="http://www.althingi.is/altext/stjt/2000.056.html" TargetMode="External"/><Relationship Id="rId28" Type="http://schemas.openxmlformats.org/officeDocument/2006/relationships/glossaryDocument" Target="glossary/document.xml"/><Relationship Id="rId10" Type="http://schemas.openxmlformats.org/officeDocument/2006/relationships/hyperlink" Target="http://www.althingi.is/altext/stjt/2006.028.html" TargetMode="External"/><Relationship Id="rId19" Type="http://schemas.openxmlformats.org/officeDocument/2006/relationships/hyperlink" Target="http://www.althingi.is/altext/stjt/2006.140.html" TargetMode="External"/><Relationship Id="rId4" Type="http://schemas.openxmlformats.org/officeDocument/2006/relationships/webSettings" Target="webSettings.xml"/><Relationship Id="rId9" Type="http://schemas.openxmlformats.org/officeDocument/2006/relationships/hyperlink" Target="http://www.althingi.is/lagas/nuna/2012060.html" TargetMode="External"/><Relationship Id="rId14" Type="http://schemas.openxmlformats.org/officeDocument/2006/relationships/hyperlink" Target="http://www.althingi.is/altext/stjt/2011.123.html" TargetMode="External"/><Relationship Id="rId22" Type="http://schemas.openxmlformats.org/officeDocument/2006/relationships/hyperlink" Target="http://www.reglugerd.is/interpro/dkm/WebGuard.nsf/key2/335-20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lthingi.i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4C"/>
    <w:rsid w:val="0061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D16E07E7A3498593E0367DDE86FF08">
    <w:name w:val="C6D16E07E7A3498593E0367DDE86FF08"/>
    <w:rsid w:val="006155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D16E07E7A3498593E0367DDE86FF08">
    <w:name w:val="C6D16E07E7A3498593E0367DDE86FF08"/>
    <w:rsid w:val="00615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tomas</cp:lastModifiedBy>
  <cp:revision>1</cp:revision>
  <dcterms:created xsi:type="dcterms:W3CDTF">2012-11-21T09:56:00Z</dcterms:created>
  <dcterms:modified xsi:type="dcterms:W3CDTF">2012-11-21T10:02:00Z</dcterms:modified>
</cp:coreProperties>
</file>